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center" w:tblpY="18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1514"/>
        <w:gridCol w:w="4606"/>
      </w:tblGrid>
      <w:tr w:rsidR="006C4457" w:rsidRPr="006C4457" w:rsidTr="001E4360">
        <w:trPr>
          <w:trHeight w:val="1438"/>
        </w:trPr>
        <w:tc>
          <w:tcPr>
            <w:tcW w:w="3888" w:type="dxa"/>
          </w:tcPr>
          <w:p w:rsidR="006C4457" w:rsidRPr="006C4457" w:rsidRDefault="006C4457" w:rsidP="00E778FD">
            <w:pPr>
              <w:jc w:val="center"/>
              <w:rPr>
                <w:b/>
              </w:rPr>
            </w:pPr>
          </w:p>
          <w:p w:rsidR="006C4457" w:rsidRPr="006C4457" w:rsidRDefault="006C4457" w:rsidP="00E778FD">
            <w:pPr>
              <w:jc w:val="center"/>
              <w:rPr>
                <w:b/>
              </w:rPr>
            </w:pPr>
            <w:r w:rsidRPr="006C4457">
              <w:rPr>
                <w:b/>
              </w:rPr>
              <w:t>ХАЛЬМГ ТАҢҺЧИН</w:t>
            </w:r>
          </w:p>
          <w:p w:rsidR="006C4457" w:rsidRPr="006C4457" w:rsidRDefault="006C4457" w:rsidP="00E778FD">
            <w:pPr>
              <w:jc w:val="center"/>
              <w:rPr>
                <w:b/>
              </w:rPr>
            </w:pPr>
            <w:r w:rsidRPr="006C4457">
              <w:rPr>
                <w:b/>
              </w:rPr>
              <w:t>АДЫК СЕЛӘНӘ МУНИЦИПАЛЬН БҮРДӘЦИН АДМИНИСТРАЦИН ТОГТАВР</w:t>
            </w:r>
          </w:p>
        </w:tc>
        <w:tc>
          <w:tcPr>
            <w:tcW w:w="1513" w:type="dxa"/>
            <w:hideMark/>
          </w:tcPr>
          <w:p w:rsidR="006C4457" w:rsidRPr="006C4457" w:rsidRDefault="00876F55" w:rsidP="00E778FD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8752;visibility:visible;mso-wrap-edited:f;mso-position-horizontal-relative:text;mso-position-vertical-relative:text" wrapcoords="-162 0 -162 21407 21600 21407 21600 0 -162 0">
                  <v:imagedata r:id="rId7" o:title="" croptop="4369f" cropbottom="4369f" cropleft="8937f" cropright="14043f"/>
                  <w10:wrap type="tight"/>
                </v:shape>
                <o:OLEObject Type="Embed" ProgID="Word.Picture.8" ShapeID="_x0000_s1026" DrawAspect="Content" ObjectID="_1720449181" r:id="rId8"/>
              </w:object>
            </w:r>
          </w:p>
        </w:tc>
        <w:tc>
          <w:tcPr>
            <w:tcW w:w="4607" w:type="dxa"/>
          </w:tcPr>
          <w:p w:rsidR="006C4457" w:rsidRPr="006C4457" w:rsidRDefault="006C4457" w:rsidP="00E778FD">
            <w:pPr>
              <w:jc w:val="center"/>
            </w:pPr>
          </w:p>
          <w:p w:rsidR="006C4457" w:rsidRPr="006C4457" w:rsidRDefault="006C4457" w:rsidP="00E778FD">
            <w:pPr>
              <w:jc w:val="center"/>
              <w:rPr>
                <w:b/>
              </w:rPr>
            </w:pPr>
            <w:r w:rsidRPr="006C4457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6C4457" w:rsidRPr="006C4457" w:rsidRDefault="006C4457" w:rsidP="00E778FD">
      <w:pPr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359250, Республика Калмыкия Черноземельский район п. Адык ул. Мира, 2а,</w:t>
      </w:r>
    </w:p>
    <w:p w:rsidR="006C4457" w:rsidRPr="00E778FD" w:rsidRDefault="006C4457" w:rsidP="00E778FD">
      <w:pPr>
        <w:pBdr>
          <w:bottom w:val="single" w:sz="12" w:space="11" w:color="auto"/>
        </w:pBd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/факс (84743) 9-31-34, </w:t>
      </w:r>
      <w:r w:rsidRPr="006C4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Pr="006C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63C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adyk</w:t>
      </w:r>
      <w:r w:rsidR="00E63C99" w:rsidRPr="00E63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63C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smo</w:t>
      </w:r>
      <w:r w:rsidRPr="006C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E63C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rk</w:t>
      </w:r>
      <w:r w:rsidR="00E63C99" w:rsidRPr="00E63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</w:t>
      </w:r>
      <w:r w:rsidRPr="006C4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6C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веб-сайт: 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bookmarkStart w:id="0" w:name="_GoBack"/>
      <w:r w:rsidR="00E778FD" w:rsidRPr="00E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adykovskoe</w:t>
      </w:r>
      <w:r w:rsidR="00E778FD" w:rsidRPr="00E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="00E778FD" w:rsidRPr="00E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gosweb</w:t>
      </w:r>
      <w:r w:rsidR="00E778FD" w:rsidRPr="00E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gosuslugi</w:t>
      </w:r>
      <w:r w:rsidR="00E778FD" w:rsidRPr="00E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78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bookmarkEnd w:id="0"/>
    <w:p w:rsidR="006C4457" w:rsidRPr="006C4457" w:rsidRDefault="002731AA" w:rsidP="006C4457">
      <w:pPr>
        <w:shd w:val="clear" w:color="auto" w:fill="FFFFFF"/>
        <w:tabs>
          <w:tab w:val="center" w:pos="4960"/>
          <w:tab w:val="left" w:pos="831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июня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№25</w:t>
      </w:r>
      <w:r w:rsidR="006C4457" w:rsidRPr="006C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п. Адык</w:t>
      </w:r>
    </w:p>
    <w:p w:rsidR="00A63CEF" w:rsidRPr="00A63CEF" w:rsidRDefault="00A63CEF" w:rsidP="00A63C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EF">
        <w:rPr>
          <w:rFonts w:ascii="Times New Roman" w:hAnsi="Times New Roman" w:cs="Times New Roman"/>
          <w:b/>
          <w:sz w:val="24"/>
          <w:szCs w:val="24"/>
        </w:rPr>
        <w:t>Об источниках наружного противопожарного водоснабжения</w:t>
      </w:r>
    </w:p>
    <w:p w:rsidR="00A63CEF" w:rsidRPr="00A63CEF" w:rsidRDefault="00A63CEF" w:rsidP="00A63C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EF">
        <w:rPr>
          <w:rFonts w:ascii="Times New Roman" w:hAnsi="Times New Roman" w:cs="Times New Roman"/>
          <w:b/>
          <w:sz w:val="24"/>
          <w:szCs w:val="24"/>
        </w:rPr>
        <w:t>для целей пожаротушения, расположенных в населенных пунктах</w:t>
      </w:r>
    </w:p>
    <w:p w:rsidR="00A63CEF" w:rsidRPr="00A63CEF" w:rsidRDefault="00A63CEF" w:rsidP="00A63C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EF">
        <w:rPr>
          <w:rFonts w:ascii="Times New Roman" w:hAnsi="Times New Roman" w:cs="Times New Roman"/>
          <w:b/>
          <w:sz w:val="24"/>
          <w:szCs w:val="24"/>
        </w:rPr>
        <w:t xml:space="preserve">и на прилегающих к ним территориях </w:t>
      </w:r>
      <w:bookmarkStart w:id="1" w:name="_Hlk104472708"/>
      <w:r>
        <w:rPr>
          <w:rFonts w:ascii="Times New Roman" w:hAnsi="Times New Roman" w:cs="Times New Roman"/>
          <w:b/>
          <w:sz w:val="24"/>
          <w:szCs w:val="24"/>
        </w:rPr>
        <w:t xml:space="preserve">Адыковского </w:t>
      </w:r>
      <w:r w:rsidRPr="00A63CEF">
        <w:rPr>
          <w:rFonts w:ascii="Times New Roman" w:hAnsi="Times New Roman" w:cs="Times New Roman"/>
          <w:b/>
          <w:sz w:val="24"/>
          <w:szCs w:val="24"/>
        </w:rPr>
        <w:t>сельского муниципального образования Республики Калмыкия</w:t>
      </w:r>
    </w:p>
    <w:bookmarkEnd w:id="1"/>
    <w:p w:rsidR="00A63CEF" w:rsidRDefault="00A63CEF" w:rsidP="006C445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CEF" w:rsidRPr="00A63CEF" w:rsidRDefault="00A63CEF" w:rsidP="00A63CE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соответствии с Федеральными законами от 22 июля 2008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123-Ф3 "Технический регламент о требованиях пожарной безопасности",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9C55F4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1994 г</w:t>
        </w:r>
      </w:smartTag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69-ФЗ "О пожарной безопасности",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Адыковского</w:t>
      </w:r>
      <w:r w:rsidRPr="007E3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образования </w:t>
      </w:r>
      <w:r w:rsidRPr="007E3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Калмыкия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 Адыковского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муниципального образования</w:t>
      </w:r>
      <w:bookmarkStart w:id="2" w:name="_Hlk10447339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Республики Калмыкия </w:t>
      </w:r>
      <w:bookmarkEnd w:id="2"/>
      <w:r w:rsidRPr="00697C7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постановляет:</w:t>
      </w:r>
    </w:p>
    <w:p w:rsidR="00A63CEF" w:rsidRDefault="00A63CEF" w:rsidP="00A63CEF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Адыковского сельского муниципального образования Республики Калмыкия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 1.</w:t>
      </w:r>
    </w:p>
    <w:p w:rsidR="00A63CEF" w:rsidRPr="009C55F4" w:rsidRDefault="00A63CEF" w:rsidP="00A63CEF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перечень источников наружного противопожарного водоснабжения в населенных пунктах и на прилегающих к ним территориях Адыковского СМО Республики Калмыкия согласно приложению 2.</w:t>
      </w:r>
    </w:p>
    <w:p w:rsidR="00A63CEF" w:rsidRDefault="00A63CEF" w:rsidP="00A63CEF">
      <w:pPr>
        <w:pStyle w:val="ac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FE01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E01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СМО РК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A63CEF" w:rsidRPr="00156F22" w:rsidRDefault="00A63CEF" w:rsidP="00A63CEF">
      <w:pPr>
        <w:pStyle w:val="ac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</w:t>
      </w:r>
      <w:r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поддерживать имеющиеся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водоемы согласно приложению 2 </w:t>
      </w:r>
      <w:r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постоянной готовности к забору воды пожарной техникой для тушения пожаров, для чего в сметах расходов планировать финанси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рование мероприятий на эти цели;</w:t>
      </w:r>
    </w:p>
    <w:p w:rsidR="00A63CEF" w:rsidRPr="009C55F4" w:rsidRDefault="00A63CEF" w:rsidP="00A63CE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Два раза в год (весной – с 01 апреля по 01 июня и осенью – с 01 сентября по 01 ноября) проводить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ПСЧ 1</w:t>
      </w:r>
      <w:r w:rsidRP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ПСО ГПС ФПС ГУ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Республике Калмыкия,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комиссионное обследование (проверку) средств наружного противопожарного водоснабжения на территории поселения и представлять результаты проверок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сроки до 20 июня и 20 ноября в 5</w:t>
      </w:r>
      <w:r w:rsidRP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ПСЧ 1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ПСО ГПС ФПС ГУ МЧ</w:t>
      </w:r>
      <w:r w:rsidR="003835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России по Республике Калмыкия.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Принимать своевременные меры по ремонту и восстановлению неисправных источников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противопожарного водоснабжения, обеспечить установку на видных местах указателей установленного образца.</w:t>
      </w:r>
    </w:p>
    <w:p w:rsidR="00A63CEF" w:rsidRPr="009C55F4" w:rsidRDefault="00A63CEF" w:rsidP="00A63CEF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действенный контроль в вопросах обеспечения объектов,</w:t>
      </w:r>
      <w:r w:rsidRPr="009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 наружным противопожарным водоснабжением.</w:t>
      </w:r>
    </w:p>
    <w:p w:rsidR="00A63CEF" w:rsidRPr="00F8063B" w:rsidRDefault="00A63CEF" w:rsidP="00A63CEF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обнародованию, а также размещению на официальном сайте администрации </w:t>
      </w:r>
      <w:r w:rsidR="0038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Адыковского </w:t>
      </w: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63CEF" w:rsidRPr="007E6197" w:rsidRDefault="00A63CEF" w:rsidP="00A63CEF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 исполнением постановления оставляю за собой.</w:t>
      </w:r>
    </w:p>
    <w:p w:rsidR="00A63CEF" w:rsidRDefault="00A63CEF" w:rsidP="00A63C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3CEF" w:rsidRDefault="00A63CEF" w:rsidP="00A63C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3555" w:rsidRDefault="00383555" w:rsidP="003835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55" w:rsidRDefault="00383555" w:rsidP="003835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55" w:rsidRDefault="00383555" w:rsidP="003835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457" w:rsidRPr="00383555" w:rsidRDefault="00383555" w:rsidP="0038355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Адыковского сельского</w:t>
      </w:r>
    </w:p>
    <w:p w:rsidR="00383555" w:rsidRPr="00383555" w:rsidRDefault="00383555" w:rsidP="0038355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83555" w:rsidRDefault="00383555" w:rsidP="00383555">
      <w:pPr>
        <w:tabs>
          <w:tab w:val="left" w:pos="7500"/>
        </w:tabs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Калмыкия (ахлачи)</w:t>
      </w:r>
      <w:r w:rsidRPr="0038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8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Э.В. Очкаев</w:t>
      </w: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Default="00383555" w:rsidP="0038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Default="00383555" w:rsidP="00383555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3555" w:rsidRDefault="00383555" w:rsidP="00383555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Default="00383555" w:rsidP="00383555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55" w:rsidRPr="005B00A1" w:rsidRDefault="00383555" w:rsidP="00383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83555" w:rsidRPr="005B00A1" w:rsidRDefault="00383555" w:rsidP="00383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83555" w:rsidRPr="005B00A1" w:rsidRDefault="00383555" w:rsidP="00383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</w:p>
    <w:p w:rsidR="00383555" w:rsidRDefault="00383555" w:rsidP="00383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31AA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2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731A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383555" w:rsidRPr="005B00A1" w:rsidRDefault="00383555" w:rsidP="00383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383555" w:rsidRPr="005B00A1" w:rsidRDefault="00383555" w:rsidP="00383555">
      <w:pPr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555" w:rsidRPr="005B00A1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83555" w:rsidRPr="002731AA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содержания и эксплуатации источников наружного противопожарного водоснабжения в границах населенных пунктов и прилегающих к ним территориях </w:t>
      </w:r>
      <w:r w:rsidR="002731AA" w:rsidRPr="00273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Адыковского</w:t>
      </w:r>
      <w:r w:rsidRPr="00273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</w:t>
      </w:r>
      <w:r w:rsidR="002731AA" w:rsidRPr="00273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муниципального образования</w:t>
      </w:r>
      <w:r w:rsidRPr="00273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Калмыкия </w:t>
      </w:r>
    </w:p>
    <w:p w:rsidR="00383555" w:rsidRPr="002731AA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555" w:rsidRPr="005B00A1" w:rsidRDefault="00383555" w:rsidP="003835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555" w:rsidRPr="005B00A1" w:rsidRDefault="00383555" w:rsidP="00383555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содержания и эксплуатации источников наружного противопожарного водоснабжения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и прилегающих к ним территориях </w:t>
      </w:r>
      <w:r w:rsidR="0027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 Федеральными законами от 22.07.2008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123-ФЗ "Технический регламент о требованиях пожарной безопасности", от 21.12.1994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9-ФЗ "О пожарной безопасности",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применяются следующие понятия и сокращения: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наружного противопожарного водоснабжения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пожаротушение - тушение пожаров, заправка пожарных автоцистерн, пожарно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выезда - территория, на которой силами</w:t>
      </w:r>
      <w:r w:rsidR="0027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ПСО ГПС ФПС ГУ МЧС России по Республике Калмыкия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731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иными организациями, имеющими лицензию на право проведения данного вида работ, осуществляется тушение пожаров.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предназначен для использования при определении взаимоотношений между органом местного самоуправлен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- муниципальным образованием Адыковского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РК)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имеющими в собственности, хозяйственном ведении или оперативном управлении источники ППВ, и силами 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в целях упорядочения содержания и эксплуатации источников ППВ на территории 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555" w:rsidRPr="005B00A1" w:rsidRDefault="00383555" w:rsidP="00383555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1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эксплуатация источников ППВ</w:t>
      </w:r>
      <w:bookmarkEnd w:id="3"/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источников ППВ в соответствии с нормативными документами;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содержанию и ремонтно-профилактическим работам;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источникам ППВ сил 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3F69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организаций, осуществляющих тушение пожаров;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мест размещения источников ППВ от мусора, снега и наледи;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383555" w:rsidRPr="005B00A1" w:rsidRDefault="003F69C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источников ППВ на территории Адыковского СМО РК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определяются в соответствии с требованиями: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Свода правил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безопасности", П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равил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режима в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СНиП 2.04.02-84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"Водоснабжение. Наружные сети и сооружения".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Указатели источников ППВ выполняются в соответствии с требованиями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 Р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12.4.026-2001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387-ст). Установка указателей источников ППВ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иную организацию, имеющую в собственности, хозяйственном ведении или оперативном управлении источники ППВ.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гидранты, разрешается использовать только для целей пожаротушения.</w:t>
      </w:r>
    </w:p>
    <w:p w:rsidR="00383555" w:rsidRPr="005B00A1" w:rsidRDefault="00383555" w:rsidP="00383555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2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 проверка и испытание источников ППВ</w:t>
      </w:r>
      <w:bookmarkEnd w:id="4"/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всех источников ППВ, которые могут быть использованы для цел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пожаротушения, администрация Адыковского СМО РК,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постоянного контроля за наличием и состоянием источников ППВ 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Адыковского СМО РК,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которые их содержат и эксплуатируют, должны осуществлять их обследование (проверку) и испытание.</w:t>
      </w:r>
    </w:p>
    <w:p w:rsidR="00383555" w:rsidRPr="005B00A1" w:rsidRDefault="00383555" w:rsidP="003835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источников ППВ проверяется не менее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раз в год представителем администрации Адыковского СМО РК,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имеющей в собственности, хозяйственном ведении или оперативном управлении источники, совместно с представителями </w:t>
      </w:r>
      <w:r w:rsidR="002F1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ПСЧ.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7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Адыковского СМО РК,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383555" w:rsidRPr="005B00A1" w:rsidRDefault="00075114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8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ПСЧ 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сообщает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Адыковского СМО </w:t>
      </w:r>
      <w:r w:rsidR="00E96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</w:t>
      </w:r>
      <w:r w:rsidR="00E9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Черноземельского района  У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надзорной деятельности и профилактической работы Главного управления МЧС России по </w:t>
      </w:r>
      <w:r w:rsidR="00383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Калмыкия</w:t>
      </w:r>
      <w:r w:rsidR="00E9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383555" w:rsidRPr="00B52A46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Неисправности (недостатки) исключающие забор воды: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 Отсутствие указателя, либо нечёткие надписи на ней:  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Отсутствие указателя (координатной таблички);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Не чётко нанесены надписи, цифры на указателе (координатной табличке).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Невозможность подъезда: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2.1. Невозможность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беспрепятственного подъезда к гидранту;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 Отсутствие подъезда. 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Невозможность его обнаружения:  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Засыпан грунтом (мусором и т.п.);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Завален оборудованием, иными предметами (загромождён автотранспортом и т.п.);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Под слоем льда (снега);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Заасфальтирован.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Невозможность установить пожарную колонку: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4.1. Сдвинут колодец; 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4.2. Колодец завален грунтом;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4.3. Колодец заплыл грязью;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4.4. Стояк низко расположен;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4.5. Сбита резьба на стояке;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4.6. Смещён стояк; 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4.7. Сужены проушины на верхнем фланце;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4.8. Мешают болты на верхнем фланце.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Наличие технических дефектов: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Заглушен;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Нет стояка;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5.3. Не закреплён стояк; 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5.4. Стояк забит грунтом;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5.5. Трещина в стояке;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5.6. Нет штока;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5.7. Проворачивается (сорван) шток;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5.8. Шток не провернуть;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5.9. Погнут шток;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5.10. Длинный шток;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5.11. Короткий шток;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5.12. Малый квадрат штока;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5.13. Большой квадрат штока;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5.14. Стёрты грани штока;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5.15. Разбит фланец.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Отключение от магистрали: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6.1. Отключение от магистрали.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Заморожен: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7.1. Заморожен.   </w:t>
      </w:r>
    </w:p>
    <w:p w:rsidR="00383555" w:rsidRPr="00205E08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05E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 Неисправности (недостатки), не исключающие забор воды: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Дефекты:  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Указатель (табличка), не соответствует действительности: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номер дома;              д) координаты;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тип гидранта;           е) плохо видны надписи;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тип сети;                   ж) цвет таблички;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г) диаметр сети;   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Указатель (табличка) выполнен не по ГОСТу;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 Не закрывается (течёт);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 Низкое давление в сети;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1.5. Отсутствует дренаж колодца;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1.6. Нет комплекта;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1.7. Сдвинуто кольцо колодца;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1.8. Нет крышки колодца;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1.9. Нет крышки стояка гидранта;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 В стояке нет затравки (пробки);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1.11. Течь под верхним фланцем;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1.12. Течь под нижним фланцем;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1.13. Вода в стояке (не работает сливное устройство);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1.14. Вода в колодце (нарушена герметичность колодца от проникновения грунтовых вод).   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отрицательных температурах от 0 до минус 15 градусов допускается только внешний осмотр гидранта без пуска воды;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возможность беспрепятственного подъезда к водоему;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указателя (координатной таблички);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чётко нанесены надписи, цифры на указателе (координатной табличке);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воды в водоеме (в том числе отсутствует приямок);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герметичен (не держит воду);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упорный брус;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закреплён упорный брус;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неисправен (отсутствует) самотёчный колодец;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указателя (координатной таблички) пирса;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чётко нанесены надписи, цифры на указателе (координатной табличке);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беспрепятственного подъезда к пирсу;</w:t>
      </w:r>
    </w:p>
    <w:p w:rsidR="00383555" w:rsidRPr="005B00A1" w:rsidRDefault="00383555" w:rsidP="0038355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площадки перед пирсом для разворота пожарной техники.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источников ППВ проводится в соответствии с установленными методиками.</w:t>
      </w:r>
    </w:p>
    <w:p w:rsidR="00383555" w:rsidRPr="005B00A1" w:rsidRDefault="00383555" w:rsidP="00383555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3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и реконструкция источников ППВ</w:t>
      </w:r>
      <w:bookmarkEnd w:id="5"/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 пожарных гидрантов должен быть произведен в течение суток с момента обнаружения неисправности.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Адыковского СМО РК с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определяются меры по обеспечению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Адыковского СМО РК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водоснабжением для целей пожаротушения.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снятие пожарных гидрантов с водопроводной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383555" w:rsidRPr="005B00A1" w:rsidRDefault="00383555" w:rsidP="003835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данного вида работ допускается по предварительному уведомлению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ПСЧ.</w:t>
      </w:r>
    </w:p>
    <w:p w:rsidR="00383555" w:rsidRPr="005B00A1" w:rsidRDefault="00CA407A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 должна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8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ПСЧ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обнаруженной неисправности</w:t>
      </w:r>
      <w:r w:rsidR="00383555" w:rsidRPr="005B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83555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работ по ремонту источников ППВ силы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на проверку их состояния.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383555" w:rsidRPr="005B00A1" w:rsidRDefault="00383555" w:rsidP="00383555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5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взаимодействия</w:t>
      </w:r>
      <w:bookmarkEnd w:id="6"/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вз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аимодействия между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383555" w:rsidRPr="005B00A1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абонент или организация разрабатывает план (инструкцию) взаимодействия, учитывающий(ую) конкретные местные условия.</w:t>
      </w:r>
    </w:p>
    <w:p w:rsidR="00383555" w:rsidRPr="00BB5E1B" w:rsidRDefault="00383555" w:rsidP="00383555">
      <w:pPr>
        <w:numPr>
          <w:ilvl w:val="1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</w:t>
      </w:r>
      <w:r w:rsidR="00CA4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проезд на территорию предприятий и организаций для заправки водой в целях тушения пожаров, для контроля состояния источников ППВ в порядке, установленном федеральным законодательством и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Калмыкия.</w:t>
      </w: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3555" w:rsidRPr="005B00A1" w:rsidRDefault="00383555" w:rsidP="003835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83555" w:rsidRPr="005B00A1" w:rsidRDefault="00383555" w:rsidP="003835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83555" w:rsidRPr="005B00A1" w:rsidRDefault="00383555" w:rsidP="003835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 СМО РК</w:t>
      </w:r>
    </w:p>
    <w:p w:rsidR="00383555" w:rsidRPr="005B00A1" w:rsidRDefault="00383555" w:rsidP="003835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25A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9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5A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90F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125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383555" w:rsidRPr="005B00A1" w:rsidRDefault="00383555" w:rsidP="003835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555" w:rsidRPr="005B00A1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83555" w:rsidRPr="005B00A1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противопожарных резервуаров и водных объектов на территории </w:t>
      </w:r>
      <w:r w:rsidR="00F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забора воды в целях пожаротушения</w:t>
      </w:r>
    </w:p>
    <w:p w:rsidR="00383555" w:rsidRPr="005B00A1" w:rsidRDefault="00383555" w:rsidP="00383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3555" w:rsidRPr="005B00A1" w:rsidRDefault="00F125A2" w:rsidP="0038355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Перечень пожарных гидрантов в п</w:t>
      </w:r>
      <w:r w:rsidR="00383555" w:rsidRPr="005B0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Адык</w:t>
      </w:r>
      <w:r w:rsidR="00383555" w:rsidRPr="005B00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383555" w:rsidRPr="005B00A1" w:rsidRDefault="00383555" w:rsidP="00383555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83555" w:rsidRPr="005B00A1" w:rsidRDefault="00383555" w:rsidP="00383555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3544"/>
      </w:tblGrid>
      <w:tr w:rsidR="00383555" w:rsidRPr="005B00A1" w:rsidTr="003A7D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Адрес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ПГ</w:t>
            </w:r>
          </w:p>
        </w:tc>
      </w:tr>
      <w:tr w:rsidR="00383555" w:rsidRPr="005B00A1" w:rsidTr="003A7D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00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E63C99" w:rsidRDefault="00E63C99" w:rsidP="003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9">
              <w:rPr>
                <w:rFonts w:ascii="Times New Roman" w:hAnsi="Times New Roman" w:cs="Times New Roman"/>
                <w:sz w:val="24"/>
                <w:szCs w:val="24"/>
              </w:rPr>
              <w:t>Ул. Московская, 8 (напротив ФОК)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E63C99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887EF9" w:rsidRPr="005B00A1" w:rsidRDefault="00887EF9" w:rsidP="00887EF9">
      <w:pPr>
        <w:tabs>
          <w:tab w:val="left" w:pos="9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55" w:rsidRPr="005B00A1" w:rsidRDefault="00383555" w:rsidP="00887EF9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пожарных водоемов</w:t>
      </w:r>
    </w:p>
    <w:p w:rsidR="00383555" w:rsidRPr="005B00A1" w:rsidRDefault="00383555" w:rsidP="00383555">
      <w:pPr>
        <w:spacing w:after="0" w:line="240" w:lineRule="auto"/>
        <w:ind w:left="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93"/>
        <w:gridCol w:w="4962"/>
      </w:tblGrid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E85E2B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Адык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E85E2B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Школьная, д.13 (МБОУ Адыковская средняя школа)</w:t>
            </w: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Адык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Победы, д.16 (МК ДОУ детский сад «Чебурашка»)</w:t>
            </w: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Адык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E63C99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Пионерская, д.1а (оф. ВОП)</w:t>
            </w: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555" w:rsidRPr="005B00A1" w:rsidRDefault="00383555" w:rsidP="003835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55" w:rsidRPr="005B00A1" w:rsidRDefault="00383555" w:rsidP="00887EF9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водных объектов, предназначенных для забора воды в целях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93"/>
        <w:gridCol w:w="4962"/>
      </w:tblGrid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887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383555" w:rsidRPr="005B00A1" w:rsidTr="003A7DB4">
        <w:trPr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ind w:left="4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E85E2B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Адык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 УС-5</w:t>
            </w:r>
          </w:p>
        </w:tc>
      </w:tr>
      <w:tr w:rsidR="00383555" w:rsidRPr="005B00A1" w:rsidTr="003A7D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E85E2B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5" w:rsidRPr="005B00A1" w:rsidRDefault="00383555" w:rsidP="003A7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555" w:rsidRPr="005B00A1" w:rsidRDefault="00383555" w:rsidP="003835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55" w:rsidRDefault="00383555" w:rsidP="00383555">
      <w:pPr>
        <w:spacing w:after="0" w:line="240" w:lineRule="auto"/>
      </w:pPr>
    </w:p>
    <w:p w:rsidR="00383555" w:rsidRDefault="00383555" w:rsidP="00383555">
      <w:pPr>
        <w:spacing w:after="0" w:line="240" w:lineRule="auto"/>
      </w:pPr>
    </w:p>
    <w:p w:rsidR="00383555" w:rsidRPr="00383555" w:rsidRDefault="00383555" w:rsidP="00383555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3555" w:rsidRPr="00383555" w:rsidSect="00E778FD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55" w:rsidRDefault="00876F55" w:rsidP="006C4457">
      <w:pPr>
        <w:spacing w:after="0" w:line="240" w:lineRule="auto"/>
      </w:pPr>
      <w:r>
        <w:separator/>
      </w:r>
    </w:p>
  </w:endnote>
  <w:endnote w:type="continuationSeparator" w:id="0">
    <w:p w:rsidR="00876F55" w:rsidRDefault="00876F55" w:rsidP="006C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55" w:rsidRDefault="00876F55" w:rsidP="006C4457">
      <w:pPr>
        <w:spacing w:after="0" w:line="240" w:lineRule="auto"/>
      </w:pPr>
      <w:r>
        <w:separator/>
      </w:r>
    </w:p>
  </w:footnote>
  <w:footnote w:type="continuationSeparator" w:id="0">
    <w:p w:rsidR="00876F55" w:rsidRDefault="00876F55" w:rsidP="006C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ADC"/>
    <w:multiLevelType w:val="multilevel"/>
    <w:tmpl w:val="630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6051"/>
    <w:multiLevelType w:val="hybridMultilevel"/>
    <w:tmpl w:val="587033F8"/>
    <w:lvl w:ilvl="0" w:tplc="152CA4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220301C"/>
    <w:multiLevelType w:val="multilevel"/>
    <w:tmpl w:val="D3C85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51D2BDD"/>
    <w:multiLevelType w:val="multilevel"/>
    <w:tmpl w:val="F33A9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8AA110F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0"/>
    <w:rsid w:val="00023660"/>
    <w:rsid w:val="00075114"/>
    <w:rsid w:val="0008614E"/>
    <w:rsid w:val="0009011A"/>
    <w:rsid w:val="000A53D2"/>
    <w:rsid w:val="000F50DE"/>
    <w:rsid w:val="00101CA0"/>
    <w:rsid w:val="00117362"/>
    <w:rsid w:val="00135404"/>
    <w:rsid w:val="001362C5"/>
    <w:rsid w:val="0016484F"/>
    <w:rsid w:val="00197C29"/>
    <w:rsid w:val="002731AA"/>
    <w:rsid w:val="00277FB1"/>
    <w:rsid w:val="002F1F71"/>
    <w:rsid w:val="00330C7B"/>
    <w:rsid w:val="00383555"/>
    <w:rsid w:val="003F69C5"/>
    <w:rsid w:val="004833D6"/>
    <w:rsid w:val="004934DC"/>
    <w:rsid w:val="004F4927"/>
    <w:rsid w:val="005C6EEE"/>
    <w:rsid w:val="00613419"/>
    <w:rsid w:val="00623185"/>
    <w:rsid w:val="006602E7"/>
    <w:rsid w:val="006869D5"/>
    <w:rsid w:val="006A4C72"/>
    <w:rsid w:val="006C4457"/>
    <w:rsid w:val="006E062C"/>
    <w:rsid w:val="006E2DA7"/>
    <w:rsid w:val="007B59E3"/>
    <w:rsid w:val="007C50AF"/>
    <w:rsid w:val="007D1366"/>
    <w:rsid w:val="00842690"/>
    <w:rsid w:val="00850C0A"/>
    <w:rsid w:val="00850C48"/>
    <w:rsid w:val="00876F55"/>
    <w:rsid w:val="00877595"/>
    <w:rsid w:val="00885F86"/>
    <w:rsid w:val="00887EF9"/>
    <w:rsid w:val="009104FC"/>
    <w:rsid w:val="009718D0"/>
    <w:rsid w:val="00977D6A"/>
    <w:rsid w:val="009D79F3"/>
    <w:rsid w:val="00A63CEF"/>
    <w:rsid w:val="00A75BBE"/>
    <w:rsid w:val="00A84037"/>
    <w:rsid w:val="00AC69D6"/>
    <w:rsid w:val="00BA46F4"/>
    <w:rsid w:val="00C66E49"/>
    <w:rsid w:val="00C96383"/>
    <w:rsid w:val="00CA407A"/>
    <w:rsid w:val="00CB1E47"/>
    <w:rsid w:val="00CF696F"/>
    <w:rsid w:val="00D119D5"/>
    <w:rsid w:val="00D42C07"/>
    <w:rsid w:val="00DC404D"/>
    <w:rsid w:val="00DF3249"/>
    <w:rsid w:val="00E313A5"/>
    <w:rsid w:val="00E51F7C"/>
    <w:rsid w:val="00E63C99"/>
    <w:rsid w:val="00E778FD"/>
    <w:rsid w:val="00E96B7B"/>
    <w:rsid w:val="00F125A2"/>
    <w:rsid w:val="00F5502F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D6DE6DE"/>
  <w15:docId w15:val="{13A0FDF7-85C0-4ACA-BE46-C60028F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457"/>
  </w:style>
  <w:style w:type="paragraph" w:styleId="a7">
    <w:name w:val="footer"/>
    <w:basedOn w:val="a"/>
    <w:link w:val="a8"/>
    <w:uiPriority w:val="99"/>
    <w:unhideWhenUsed/>
    <w:rsid w:val="006C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457"/>
  </w:style>
  <w:style w:type="table" w:styleId="a9">
    <w:name w:val="Table Grid"/>
    <w:basedOn w:val="a1"/>
    <w:rsid w:val="006C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4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63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63CEF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E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Орион</cp:lastModifiedBy>
  <cp:revision>39</cp:revision>
  <cp:lastPrinted>2022-04-13T13:26:00Z</cp:lastPrinted>
  <dcterms:created xsi:type="dcterms:W3CDTF">2022-03-14T09:09:00Z</dcterms:created>
  <dcterms:modified xsi:type="dcterms:W3CDTF">2022-07-27T14:46:00Z</dcterms:modified>
</cp:coreProperties>
</file>