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CD" w:rsidRPr="00CC5CCD" w:rsidRDefault="00CC5CCD" w:rsidP="00CC5CCD">
      <w:pPr>
        <w:ind w:left="5220"/>
      </w:pPr>
      <w:r w:rsidRPr="00CC5CCD">
        <w:t xml:space="preserve">                                                                                                          </w:t>
      </w:r>
    </w:p>
    <w:p w:rsidR="00CC5CCD" w:rsidRDefault="00CC5CCD" w:rsidP="00CC5CCD">
      <w:pPr>
        <w:ind w:left="5220"/>
        <w:jc w:val="right"/>
        <w:rPr>
          <w:sz w:val="18"/>
          <w:szCs w:val="18"/>
        </w:rPr>
      </w:pPr>
      <w:r w:rsidRPr="00CC5CCD">
        <w:t xml:space="preserve">                                                                                                         </w:t>
      </w:r>
      <w:r w:rsidRPr="00CC5CCD">
        <w:rPr>
          <w:sz w:val="18"/>
          <w:szCs w:val="18"/>
        </w:rPr>
        <w:t xml:space="preserve">Утверждены: </w:t>
      </w:r>
    </w:p>
    <w:p w:rsidR="00CC5CCD" w:rsidRPr="00CC5CCD" w:rsidRDefault="00CC5CCD" w:rsidP="00CC5CCD">
      <w:pPr>
        <w:ind w:left="5220"/>
        <w:jc w:val="right"/>
        <w:rPr>
          <w:sz w:val="18"/>
          <w:szCs w:val="18"/>
        </w:rPr>
      </w:pPr>
      <w:r w:rsidRPr="00CC5CCD">
        <w:rPr>
          <w:sz w:val="18"/>
          <w:szCs w:val="18"/>
        </w:rPr>
        <w:t>Распоряжением от «31» декабря 2015 года № 39</w:t>
      </w:r>
    </w:p>
    <w:p w:rsidR="00CC5CCD" w:rsidRPr="00CC5CCD" w:rsidRDefault="00CC5CCD" w:rsidP="00CC5CCD">
      <w:pPr>
        <w:ind w:left="5040"/>
      </w:pPr>
    </w:p>
    <w:p w:rsidR="00CC5CCD" w:rsidRPr="00CC5CCD" w:rsidRDefault="00CC5CCD" w:rsidP="00CC5CCD">
      <w:pPr>
        <w:jc w:val="center"/>
        <w:rPr>
          <w:b/>
        </w:rPr>
      </w:pPr>
    </w:p>
    <w:p w:rsidR="00CC5CCD" w:rsidRPr="00CC5CCD" w:rsidRDefault="00CC5CCD" w:rsidP="00CC5CCD">
      <w:pPr>
        <w:jc w:val="center"/>
        <w:rPr>
          <w:b/>
        </w:rPr>
      </w:pPr>
      <w:r w:rsidRPr="00CC5CCD">
        <w:rPr>
          <w:b/>
        </w:rPr>
        <w:t>Методические рекомендации по применению аналитических кодов</w:t>
      </w:r>
    </w:p>
    <w:p w:rsidR="00CC5CCD" w:rsidRPr="00CC5CCD" w:rsidRDefault="00CC5CCD" w:rsidP="00CC5CCD">
      <w:pPr>
        <w:jc w:val="center"/>
        <w:rPr>
          <w:b/>
        </w:rPr>
      </w:pPr>
      <w:r w:rsidRPr="00CC5CCD">
        <w:rPr>
          <w:b/>
        </w:rPr>
        <w:t>при исполнении   бюджета Адыковского  СМО РК  на 2016 год.</w:t>
      </w:r>
    </w:p>
    <w:p w:rsidR="00CC5CCD" w:rsidRPr="00CC5CCD" w:rsidRDefault="00CC5CCD" w:rsidP="00CC5CCD">
      <w:pPr>
        <w:ind w:firstLine="720"/>
        <w:jc w:val="both"/>
      </w:pPr>
    </w:p>
    <w:p w:rsidR="00CC5CCD" w:rsidRPr="00CC5CCD" w:rsidRDefault="00CC5CCD" w:rsidP="00CC5CCD">
      <w:r w:rsidRPr="00CC5CCD">
        <w:rPr>
          <w:rStyle w:val="a5"/>
        </w:rPr>
        <w:t xml:space="preserve">           1. Настоящие Методические рекомендации по применению аналитических      кодов (далее - рекомендации) разработаны в целях организации работы по исполнению  бюджета</w:t>
      </w:r>
      <w:r w:rsidRPr="00CC5CCD">
        <w:t xml:space="preserve"> Адыковского СМО РК</w:t>
      </w:r>
      <w:r w:rsidRPr="00CC5CCD">
        <w:rPr>
          <w:rStyle w:val="a5"/>
        </w:rPr>
        <w:t xml:space="preserve"> </w:t>
      </w:r>
      <w:r w:rsidRPr="00CC5CCD">
        <w:t>на 2016 год.</w:t>
      </w:r>
    </w:p>
    <w:p w:rsidR="00CC5CCD" w:rsidRPr="00CC5CCD" w:rsidRDefault="00CC5CCD" w:rsidP="00CC5CCD">
      <w:pPr>
        <w:pStyle w:val="a8"/>
        <w:tabs>
          <w:tab w:val="left" w:pos="1260"/>
          <w:tab w:val="left" w:pos="1440"/>
        </w:tabs>
        <w:ind w:firstLine="900"/>
        <w:rPr>
          <w:rStyle w:val="a5"/>
          <w:sz w:val="24"/>
          <w:szCs w:val="24"/>
        </w:rPr>
      </w:pPr>
      <w:r w:rsidRPr="00CC5CCD">
        <w:rPr>
          <w:rStyle w:val="a5"/>
          <w:sz w:val="24"/>
          <w:szCs w:val="24"/>
        </w:rPr>
        <w:t xml:space="preserve">2. Аналитические коды  применяются в рамках </w:t>
      </w:r>
      <w:proofErr w:type="gramStart"/>
      <w:r w:rsidRPr="00CC5CCD">
        <w:rPr>
          <w:rStyle w:val="a5"/>
          <w:sz w:val="24"/>
          <w:szCs w:val="24"/>
        </w:rPr>
        <w:t>учета финансовых взаимоотношений получателей средств бюджета</w:t>
      </w:r>
      <w:proofErr w:type="gramEnd"/>
      <w:r w:rsidRPr="00CC5CCD">
        <w:rPr>
          <w:rStyle w:val="a5"/>
          <w:sz w:val="24"/>
          <w:szCs w:val="24"/>
        </w:rPr>
        <w:t xml:space="preserve"> </w:t>
      </w:r>
      <w:r w:rsidRPr="00CC5CCD">
        <w:rPr>
          <w:sz w:val="24"/>
          <w:szCs w:val="24"/>
        </w:rPr>
        <w:t>Адыковского</w:t>
      </w:r>
      <w:r w:rsidRPr="00CC5CCD">
        <w:rPr>
          <w:rStyle w:val="a5"/>
          <w:sz w:val="24"/>
          <w:szCs w:val="24"/>
        </w:rPr>
        <w:t xml:space="preserve">  СМО РК, бюджетных  учреждений, не являющихся участниками бюджетного процесса.</w:t>
      </w:r>
    </w:p>
    <w:p w:rsidR="00CC5CCD" w:rsidRPr="00CC5CCD" w:rsidRDefault="00CC5CCD" w:rsidP="00CC5CCD">
      <w:pPr>
        <w:pStyle w:val="a8"/>
        <w:tabs>
          <w:tab w:val="left" w:pos="1260"/>
          <w:tab w:val="left" w:pos="1440"/>
        </w:tabs>
        <w:ind w:firstLine="900"/>
        <w:rPr>
          <w:rStyle w:val="a5"/>
          <w:sz w:val="24"/>
          <w:szCs w:val="24"/>
        </w:rPr>
      </w:pPr>
      <w:r w:rsidRPr="00CC5CCD">
        <w:rPr>
          <w:rStyle w:val="a5"/>
          <w:sz w:val="24"/>
          <w:szCs w:val="24"/>
        </w:rPr>
        <w:t>3. В целях применения аналитических кодов управления муниципальными финансами использованы следующие коды:</w:t>
      </w:r>
    </w:p>
    <w:p w:rsidR="00CC5CCD" w:rsidRPr="00CC5CCD" w:rsidRDefault="00CC5CCD" w:rsidP="00CC5CCD">
      <w:pPr>
        <w:pStyle w:val="a8"/>
        <w:tabs>
          <w:tab w:val="left" w:pos="1260"/>
          <w:tab w:val="left" w:pos="1440"/>
        </w:tabs>
        <w:ind w:firstLine="900"/>
        <w:rPr>
          <w:sz w:val="24"/>
          <w:szCs w:val="24"/>
        </w:rPr>
      </w:pPr>
      <w:r w:rsidRPr="00CC5CCD">
        <w:rPr>
          <w:rStyle w:val="a5"/>
          <w:sz w:val="24"/>
          <w:szCs w:val="24"/>
        </w:rPr>
        <w:t xml:space="preserve">- аналитический код </w:t>
      </w:r>
      <w:r w:rsidRPr="00CC5CCD">
        <w:rPr>
          <w:sz w:val="24"/>
          <w:szCs w:val="24"/>
        </w:rPr>
        <w:t xml:space="preserve">классификации операций сектора муниципального управления (далее – код </w:t>
      </w:r>
      <w:proofErr w:type="spellStart"/>
      <w:r w:rsidRPr="00CC5CCD">
        <w:rPr>
          <w:sz w:val="24"/>
          <w:szCs w:val="24"/>
        </w:rPr>
        <w:t>субКОСГУ</w:t>
      </w:r>
      <w:proofErr w:type="spellEnd"/>
      <w:r w:rsidRPr="00CC5CCD">
        <w:rPr>
          <w:sz w:val="24"/>
          <w:szCs w:val="24"/>
        </w:rPr>
        <w:t xml:space="preserve">). </w:t>
      </w:r>
    </w:p>
    <w:p w:rsidR="00CC5CCD" w:rsidRPr="00CC5CCD" w:rsidRDefault="00CC5CCD" w:rsidP="00CC5CCD">
      <w:pPr>
        <w:pStyle w:val="a8"/>
        <w:tabs>
          <w:tab w:val="left" w:pos="1260"/>
          <w:tab w:val="left" w:pos="1440"/>
        </w:tabs>
        <w:ind w:firstLine="900"/>
        <w:rPr>
          <w:rStyle w:val="a5"/>
          <w:sz w:val="24"/>
          <w:szCs w:val="24"/>
        </w:rPr>
      </w:pPr>
      <w:r w:rsidRPr="00CC5CCD">
        <w:rPr>
          <w:rStyle w:val="a5"/>
          <w:sz w:val="24"/>
          <w:szCs w:val="24"/>
        </w:rPr>
        <w:t xml:space="preserve">4. Исполнение  бюджета </w:t>
      </w:r>
      <w:r w:rsidRPr="00CC5CCD">
        <w:rPr>
          <w:sz w:val="24"/>
          <w:szCs w:val="24"/>
        </w:rPr>
        <w:t>Адыковского</w:t>
      </w:r>
      <w:r w:rsidRPr="00CC5CCD">
        <w:rPr>
          <w:rStyle w:val="a5"/>
          <w:sz w:val="24"/>
          <w:szCs w:val="24"/>
        </w:rPr>
        <w:t xml:space="preserve"> СМО РК осуществляется с учетом аналитических кодов в программном комплексе АС «Бюджет поселения».</w:t>
      </w:r>
    </w:p>
    <w:p w:rsidR="00CC5CCD" w:rsidRPr="00CC5CCD" w:rsidRDefault="00CC5CCD" w:rsidP="00CC5CCD">
      <w:pPr>
        <w:tabs>
          <w:tab w:val="num" w:pos="1260"/>
        </w:tabs>
        <w:autoSpaceDE w:val="0"/>
        <w:autoSpaceDN w:val="0"/>
        <w:adjustRightInd w:val="0"/>
        <w:jc w:val="both"/>
      </w:pPr>
      <w:r w:rsidRPr="00CC5CCD">
        <w:t xml:space="preserve">          </w:t>
      </w:r>
      <w:r>
        <w:t>5</w:t>
      </w:r>
      <w:r w:rsidRPr="00CC5CCD">
        <w:t xml:space="preserve">. Код </w:t>
      </w:r>
      <w:proofErr w:type="spellStart"/>
      <w:r w:rsidRPr="00CC5CCD">
        <w:t>субКОСГУ</w:t>
      </w:r>
      <w:proofErr w:type="spellEnd"/>
      <w:r w:rsidRPr="00CC5CCD">
        <w:t xml:space="preserve"> состоит из 5 знаков, классифицирует  расходы по экономическому содержанию и имеет структуру </w:t>
      </w:r>
      <w:r w:rsidRPr="00CC5CCD">
        <w:rPr>
          <w:lang w:val="en-US"/>
        </w:rPr>
        <w:t>XXXYY</w:t>
      </w:r>
      <w:r w:rsidRPr="00CC5CCD">
        <w:t xml:space="preserve">, в том числе: </w:t>
      </w:r>
    </w:p>
    <w:p w:rsidR="00CC5CCD" w:rsidRPr="00CC5CCD" w:rsidRDefault="00CC5CCD" w:rsidP="00CC5CCD">
      <w:pPr>
        <w:tabs>
          <w:tab w:val="num" w:pos="900"/>
        </w:tabs>
        <w:autoSpaceDE w:val="0"/>
        <w:autoSpaceDN w:val="0"/>
        <w:adjustRightInd w:val="0"/>
        <w:ind w:firstLine="900"/>
        <w:jc w:val="both"/>
      </w:pPr>
      <w:r w:rsidRPr="00CC5CCD">
        <w:rPr>
          <w:lang w:val="en-US"/>
        </w:rPr>
        <w:t>XXX</w:t>
      </w:r>
      <w:r w:rsidRPr="00CC5CCD">
        <w:t xml:space="preserve"> (КОСГУ) – первые три знака для группировки расходов в разрезе экономического содержания расходов согласно бюджетной смете;</w:t>
      </w:r>
    </w:p>
    <w:p w:rsidR="00CC5CCD" w:rsidRPr="00CC5CCD" w:rsidRDefault="00CC5CCD" w:rsidP="00CC5CCD">
      <w:pPr>
        <w:tabs>
          <w:tab w:val="num" w:pos="1260"/>
        </w:tabs>
        <w:autoSpaceDE w:val="0"/>
        <w:autoSpaceDN w:val="0"/>
        <w:adjustRightInd w:val="0"/>
        <w:ind w:firstLine="900"/>
        <w:jc w:val="both"/>
      </w:pPr>
      <w:r w:rsidRPr="00CC5CCD">
        <w:rPr>
          <w:lang w:val="en-US"/>
        </w:rPr>
        <w:t>YY</w:t>
      </w:r>
      <w:r w:rsidRPr="00CC5CCD">
        <w:t xml:space="preserve"> (</w:t>
      </w:r>
      <w:proofErr w:type="spellStart"/>
      <w:r w:rsidRPr="00CC5CCD">
        <w:t>субКОСГУ</w:t>
      </w:r>
      <w:proofErr w:type="spellEnd"/>
      <w:r w:rsidRPr="00CC5CCD">
        <w:t xml:space="preserve">) - </w:t>
      </w:r>
      <w:proofErr w:type="gramStart"/>
      <w:r w:rsidRPr="00CC5CCD">
        <w:t>четвертый  и</w:t>
      </w:r>
      <w:proofErr w:type="gramEnd"/>
      <w:r w:rsidRPr="00CC5CCD">
        <w:t xml:space="preserve">  пятый знаки определяет детализацию расходов по экономическому содержанию расходов.</w:t>
      </w:r>
    </w:p>
    <w:p w:rsidR="00CC5CCD" w:rsidRPr="00CC5CCD" w:rsidRDefault="00CC5CCD" w:rsidP="00CC5CCD">
      <w:pPr>
        <w:tabs>
          <w:tab w:val="num" w:pos="1260"/>
        </w:tabs>
        <w:autoSpaceDE w:val="0"/>
        <w:autoSpaceDN w:val="0"/>
        <w:adjustRightInd w:val="0"/>
        <w:ind w:firstLine="900"/>
        <w:jc w:val="both"/>
      </w:pPr>
      <w:r w:rsidRPr="00CC5CCD">
        <w:t xml:space="preserve">Детализация кода </w:t>
      </w:r>
      <w:proofErr w:type="spellStart"/>
      <w:r w:rsidRPr="00CC5CCD">
        <w:t>субКОСГУ</w:t>
      </w:r>
      <w:proofErr w:type="spellEnd"/>
      <w:r w:rsidRPr="00CC5CCD">
        <w:t xml:space="preserve"> по экономическому содержанию приведена в приложении № 1 к настоящим рекомендациям.</w:t>
      </w:r>
    </w:p>
    <w:p w:rsidR="00CC5CCD" w:rsidRPr="00CC5CCD" w:rsidRDefault="00CC5CCD" w:rsidP="00CC5CCD">
      <w:pPr>
        <w:tabs>
          <w:tab w:val="num" w:pos="1260"/>
        </w:tabs>
        <w:autoSpaceDE w:val="0"/>
        <w:autoSpaceDN w:val="0"/>
        <w:adjustRightInd w:val="0"/>
        <w:ind w:firstLine="720"/>
        <w:jc w:val="both"/>
      </w:pPr>
      <w:r>
        <w:t>6</w:t>
      </w:r>
      <w:r w:rsidRPr="00CC5CCD">
        <w:t>.Код СУБКОСГУ (</w:t>
      </w:r>
      <w:r w:rsidRPr="00CC5CCD">
        <w:rPr>
          <w:lang w:val="en-US"/>
        </w:rPr>
        <w:t>XXXYY</w:t>
      </w:r>
      <w:r w:rsidRPr="00CC5CCD">
        <w:t>) используется Управлением федерального казначейства по Республике Калмыкия для детализации расходов бюджета Адыковского  СМО РК путем выгрузки в расходном расписании  в поле «Код цели» и «Примечание» (пять знаков).</w:t>
      </w:r>
    </w:p>
    <w:p w:rsidR="00CC5CCD" w:rsidRPr="00CC5CCD" w:rsidRDefault="00CC5CCD" w:rsidP="00CC5CCD">
      <w:pPr>
        <w:autoSpaceDE w:val="0"/>
        <w:autoSpaceDN w:val="0"/>
        <w:adjustRightInd w:val="0"/>
        <w:ind w:firstLine="720"/>
        <w:jc w:val="both"/>
      </w:pPr>
      <w:r w:rsidRPr="00CC5CCD">
        <w:t xml:space="preserve">По </w:t>
      </w:r>
      <w:proofErr w:type="gramStart"/>
      <w:r w:rsidRPr="00CC5CCD">
        <w:t>средствам, поступившим из федерального бюджета в расходных расписаниях используется</w:t>
      </w:r>
      <w:proofErr w:type="gramEnd"/>
      <w:r w:rsidRPr="00CC5CCD">
        <w:t xml:space="preserve"> федеральный код цели (три знака).</w:t>
      </w:r>
    </w:p>
    <w:p w:rsidR="00CC5CCD" w:rsidRPr="00CC5CCD" w:rsidRDefault="00CC5CCD" w:rsidP="00CC5CCD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C5CCD">
        <w:rPr>
          <w:rFonts w:ascii="Times New Roman" w:hAnsi="Times New Roman"/>
          <w:sz w:val="24"/>
          <w:szCs w:val="24"/>
        </w:rPr>
        <w:t xml:space="preserve">. Код </w:t>
      </w:r>
      <w:proofErr w:type="spellStart"/>
      <w:r w:rsidRPr="00CC5CCD">
        <w:rPr>
          <w:rFonts w:ascii="Times New Roman" w:hAnsi="Times New Roman"/>
          <w:sz w:val="24"/>
          <w:szCs w:val="24"/>
        </w:rPr>
        <w:t>субКОСГУ</w:t>
      </w:r>
      <w:proofErr w:type="spellEnd"/>
      <w:r w:rsidRPr="00CC5CCD">
        <w:rPr>
          <w:rFonts w:ascii="Times New Roman" w:hAnsi="Times New Roman"/>
          <w:sz w:val="24"/>
          <w:szCs w:val="24"/>
        </w:rPr>
        <w:t xml:space="preserve"> (</w:t>
      </w:r>
      <w:r w:rsidRPr="00CC5CCD">
        <w:rPr>
          <w:rFonts w:ascii="Times New Roman" w:hAnsi="Times New Roman"/>
          <w:sz w:val="24"/>
          <w:szCs w:val="24"/>
          <w:lang w:val="en-US"/>
        </w:rPr>
        <w:t>XXXYY</w:t>
      </w:r>
      <w:r w:rsidRPr="00CC5CCD">
        <w:rPr>
          <w:rFonts w:ascii="Times New Roman" w:hAnsi="Times New Roman"/>
          <w:sz w:val="24"/>
          <w:szCs w:val="24"/>
        </w:rPr>
        <w:t xml:space="preserve">) по получателям средств  бюджета Адыковского СМО РК указывается в заявке на кассовый расход в разделе 5 «Расшифровка заявки на кассовый расход» в поле «Код цели» и в начале поля «Примечание» в отдельных скобках перед текстовым примечанием без пробелов и других знаков. </w:t>
      </w:r>
    </w:p>
    <w:p w:rsidR="00CC5CCD" w:rsidRPr="00CC5CCD" w:rsidRDefault="00CC5CCD" w:rsidP="00CC5CCD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5CCD">
        <w:rPr>
          <w:rFonts w:ascii="Times New Roman" w:hAnsi="Times New Roman"/>
          <w:sz w:val="24"/>
          <w:szCs w:val="24"/>
        </w:rPr>
        <w:t>Управление федерального казначейства по Республике Калмыкия осуществляет контроль по  коду КОСГУ (</w:t>
      </w:r>
      <w:r w:rsidRPr="00CC5CCD">
        <w:rPr>
          <w:rFonts w:ascii="Times New Roman" w:hAnsi="Times New Roman"/>
          <w:sz w:val="24"/>
          <w:szCs w:val="24"/>
          <w:lang w:val="en-US"/>
        </w:rPr>
        <w:t>XXXYY</w:t>
      </w:r>
      <w:r w:rsidRPr="00CC5CCD">
        <w:rPr>
          <w:rFonts w:ascii="Times New Roman" w:hAnsi="Times New Roman"/>
          <w:sz w:val="24"/>
          <w:szCs w:val="24"/>
        </w:rPr>
        <w:t>) указанных в поле «Код цели» и в поле «Примечание» в заявке на кассовый расход.</w:t>
      </w:r>
    </w:p>
    <w:p w:rsidR="00CC5CCD" w:rsidRPr="00CC5CCD" w:rsidRDefault="00CC5CCD" w:rsidP="00CC5CCD">
      <w:pPr>
        <w:tabs>
          <w:tab w:val="num" w:pos="1260"/>
        </w:tabs>
        <w:autoSpaceDE w:val="0"/>
        <w:autoSpaceDN w:val="0"/>
        <w:adjustRightInd w:val="0"/>
        <w:ind w:firstLine="720"/>
        <w:jc w:val="both"/>
      </w:pPr>
    </w:p>
    <w:p w:rsidR="00CC5CCD" w:rsidRPr="00CC5CCD" w:rsidRDefault="00CC5CCD" w:rsidP="00CC5CCD">
      <w:pPr>
        <w:tabs>
          <w:tab w:val="num" w:pos="1260"/>
        </w:tabs>
        <w:autoSpaceDE w:val="0"/>
        <w:autoSpaceDN w:val="0"/>
        <w:adjustRightInd w:val="0"/>
        <w:ind w:firstLine="720"/>
        <w:jc w:val="both"/>
      </w:pPr>
    </w:p>
    <w:p w:rsidR="00CC5CCD" w:rsidRPr="00CC5CCD" w:rsidRDefault="00CC5CCD" w:rsidP="00CC5CCD">
      <w:pPr>
        <w:tabs>
          <w:tab w:val="num" w:pos="1260"/>
        </w:tabs>
        <w:autoSpaceDE w:val="0"/>
        <w:autoSpaceDN w:val="0"/>
        <w:adjustRightInd w:val="0"/>
        <w:ind w:firstLine="720"/>
        <w:jc w:val="both"/>
      </w:pPr>
    </w:p>
    <w:p w:rsidR="00CC5CCD" w:rsidRPr="00CC5CCD" w:rsidRDefault="00CC5CCD" w:rsidP="00CC5CCD">
      <w:pPr>
        <w:tabs>
          <w:tab w:val="num" w:pos="1260"/>
        </w:tabs>
        <w:autoSpaceDE w:val="0"/>
        <w:autoSpaceDN w:val="0"/>
        <w:adjustRightInd w:val="0"/>
        <w:ind w:firstLine="720"/>
        <w:jc w:val="both"/>
      </w:pPr>
    </w:p>
    <w:p w:rsidR="00CC5CCD" w:rsidRPr="00CC5CCD" w:rsidRDefault="00CC5CCD" w:rsidP="00CC5CCD">
      <w:pPr>
        <w:tabs>
          <w:tab w:val="num" w:pos="1260"/>
        </w:tabs>
        <w:autoSpaceDE w:val="0"/>
        <w:autoSpaceDN w:val="0"/>
        <w:adjustRightInd w:val="0"/>
        <w:ind w:firstLine="720"/>
        <w:jc w:val="both"/>
        <w:sectPr w:rsidR="00CC5CCD" w:rsidRPr="00CC5CCD" w:rsidSect="0060010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680" w:right="748" w:bottom="899" w:left="1440" w:header="709" w:footer="709" w:gutter="0"/>
          <w:pgNumType w:start="1"/>
          <w:cols w:space="708"/>
          <w:titlePg/>
          <w:docGrid w:linePitch="360"/>
        </w:sectPr>
      </w:pPr>
    </w:p>
    <w:p w:rsidR="00CC5CCD" w:rsidRPr="00CC5CCD" w:rsidRDefault="00CC5CCD" w:rsidP="00CC5CCD">
      <w:pPr>
        <w:tabs>
          <w:tab w:val="num" w:pos="1260"/>
          <w:tab w:val="left" w:pos="7797"/>
          <w:tab w:val="left" w:pos="9637"/>
        </w:tabs>
        <w:ind w:left="5387" w:right="-2"/>
        <w:jc w:val="right"/>
        <w:rPr>
          <w:sz w:val="18"/>
          <w:szCs w:val="18"/>
        </w:rPr>
      </w:pPr>
      <w:r w:rsidRPr="00CC5CCD">
        <w:rPr>
          <w:sz w:val="18"/>
          <w:szCs w:val="18"/>
        </w:rPr>
        <w:lastRenderedPageBreak/>
        <w:t xml:space="preserve">                    Приложение № 1</w:t>
      </w:r>
    </w:p>
    <w:p w:rsidR="00CC5CCD" w:rsidRPr="00CC5CCD" w:rsidRDefault="00CC5CCD" w:rsidP="00CC5CCD">
      <w:pPr>
        <w:tabs>
          <w:tab w:val="left" w:pos="9637"/>
        </w:tabs>
        <w:ind w:left="5387" w:right="-2"/>
        <w:jc w:val="right"/>
        <w:rPr>
          <w:sz w:val="18"/>
          <w:szCs w:val="18"/>
        </w:rPr>
      </w:pPr>
      <w:r w:rsidRPr="00CC5CCD">
        <w:rPr>
          <w:sz w:val="18"/>
          <w:szCs w:val="18"/>
        </w:rPr>
        <w:t xml:space="preserve">к Методическим рекомендациям </w:t>
      </w:r>
    </w:p>
    <w:p w:rsidR="00CC5CCD" w:rsidRPr="00CC5CCD" w:rsidRDefault="00CC5CCD" w:rsidP="00CC5CCD">
      <w:pPr>
        <w:tabs>
          <w:tab w:val="left" w:pos="9637"/>
        </w:tabs>
        <w:ind w:left="5387" w:right="-2"/>
        <w:jc w:val="right"/>
        <w:rPr>
          <w:sz w:val="18"/>
          <w:szCs w:val="18"/>
        </w:rPr>
      </w:pPr>
      <w:r w:rsidRPr="00CC5CCD">
        <w:rPr>
          <w:sz w:val="18"/>
          <w:szCs w:val="18"/>
        </w:rPr>
        <w:t xml:space="preserve">по применению </w:t>
      </w:r>
      <w:proofErr w:type="gramStart"/>
      <w:r w:rsidRPr="00CC5CCD">
        <w:rPr>
          <w:sz w:val="18"/>
          <w:szCs w:val="18"/>
        </w:rPr>
        <w:t>аналитических</w:t>
      </w:r>
      <w:proofErr w:type="gramEnd"/>
      <w:r w:rsidRPr="00CC5CCD">
        <w:rPr>
          <w:sz w:val="18"/>
          <w:szCs w:val="18"/>
        </w:rPr>
        <w:t xml:space="preserve"> </w:t>
      </w:r>
    </w:p>
    <w:p w:rsidR="00CC5CCD" w:rsidRPr="00CC5CCD" w:rsidRDefault="00CC5CCD" w:rsidP="00CC5CCD">
      <w:pPr>
        <w:tabs>
          <w:tab w:val="left" w:pos="9637"/>
        </w:tabs>
        <w:ind w:left="5387" w:right="-2"/>
        <w:jc w:val="right"/>
        <w:rPr>
          <w:sz w:val="18"/>
          <w:szCs w:val="18"/>
        </w:rPr>
      </w:pPr>
      <w:r w:rsidRPr="00CC5CCD">
        <w:rPr>
          <w:sz w:val="18"/>
          <w:szCs w:val="18"/>
        </w:rPr>
        <w:t xml:space="preserve">        кодов при исполнении бюджета  Адыковского  СМО РК  на  2016 год  </w:t>
      </w:r>
    </w:p>
    <w:p w:rsidR="00CC5CCD" w:rsidRPr="00CC5CCD" w:rsidRDefault="00CC5CCD" w:rsidP="00CC5CCD">
      <w:pPr>
        <w:tabs>
          <w:tab w:val="num" w:pos="1260"/>
        </w:tabs>
        <w:autoSpaceDE w:val="0"/>
        <w:autoSpaceDN w:val="0"/>
        <w:adjustRightInd w:val="0"/>
        <w:ind w:firstLine="900"/>
        <w:jc w:val="center"/>
      </w:pPr>
    </w:p>
    <w:p w:rsidR="00CC5CCD" w:rsidRPr="00CC5CCD" w:rsidRDefault="00CC5CCD" w:rsidP="00CC5CCD">
      <w:pPr>
        <w:tabs>
          <w:tab w:val="num" w:pos="1260"/>
        </w:tabs>
        <w:autoSpaceDE w:val="0"/>
        <w:autoSpaceDN w:val="0"/>
        <w:adjustRightInd w:val="0"/>
        <w:ind w:firstLine="900"/>
        <w:jc w:val="center"/>
        <w:rPr>
          <w:b/>
        </w:rPr>
      </w:pPr>
      <w:r w:rsidRPr="00CC5CCD">
        <w:rPr>
          <w:b/>
        </w:rPr>
        <w:t xml:space="preserve">Код  </w:t>
      </w:r>
      <w:proofErr w:type="spellStart"/>
      <w:r w:rsidRPr="00CC5CCD">
        <w:rPr>
          <w:b/>
        </w:rPr>
        <w:t>субКОСГУ</w:t>
      </w:r>
      <w:proofErr w:type="spellEnd"/>
      <w:r w:rsidRPr="00CC5CCD">
        <w:rPr>
          <w:b/>
        </w:rPr>
        <w:t xml:space="preserve"> (</w:t>
      </w:r>
      <w:r w:rsidRPr="00CC5CCD">
        <w:rPr>
          <w:b/>
          <w:lang w:val="en-US"/>
        </w:rPr>
        <w:t>XXXYY</w:t>
      </w:r>
      <w:r w:rsidRPr="00CC5CCD">
        <w:rPr>
          <w:b/>
        </w:rPr>
        <w:t>)</w:t>
      </w:r>
    </w:p>
    <w:p w:rsidR="00CC5CCD" w:rsidRPr="00CC5CCD" w:rsidRDefault="00CC5CCD" w:rsidP="00CC5CCD">
      <w:pPr>
        <w:tabs>
          <w:tab w:val="num" w:pos="1260"/>
        </w:tabs>
        <w:autoSpaceDE w:val="0"/>
        <w:autoSpaceDN w:val="0"/>
        <w:adjustRightInd w:val="0"/>
        <w:ind w:firstLine="902"/>
        <w:jc w:val="both"/>
      </w:pPr>
    </w:p>
    <w:tbl>
      <w:tblPr>
        <w:tblW w:w="9654" w:type="dxa"/>
        <w:tblInd w:w="93" w:type="dxa"/>
        <w:tblLook w:val="0000"/>
      </w:tblPr>
      <w:tblGrid>
        <w:gridCol w:w="1523"/>
        <w:gridCol w:w="17"/>
        <w:gridCol w:w="1542"/>
        <w:gridCol w:w="6572"/>
      </w:tblGrid>
      <w:tr w:rsidR="00CC5CCD" w:rsidRPr="00CC5CCD" w:rsidTr="00184E2C">
        <w:trPr>
          <w:trHeight w:val="344"/>
        </w:trPr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 xml:space="preserve">Код </w:t>
            </w:r>
          </w:p>
        </w:tc>
        <w:tc>
          <w:tcPr>
            <w:tcW w:w="6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Наименование</w:t>
            </w:r>
          </w:p>
        </w:tc>
      </w:tr>
      <w:tr w:rsidR="00CC5CCD" w:rsidRPr="00CC5CCD" w:rsidTr="00184E2C">
        <w:trPr>
          <w:trHeight w:val="390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Cs/>
              </w:rPr>
            </w:pPr>
            <w:r w:rsidRPr="00CC5CCD">
              <w:rPr>
                <w:bCs/>
              </w:rPr>
              <w:t>КОСГУ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proofErr w:type="spellStart"/>
            <w:r w:rsidRPr="00CC5CCD">
              <w:t>субКОСГУ</w:t>
            </w:r>
            <w:proofErr w:type="spellEnd"/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/>
        </w:tc>
      </w:tr>
      <w:tr w:rsidR="00CC5CCD" w:rsidRPr="00CC5CCD" w:rsidTr="00184E2C">
        <w:trPr>
          <w:trHeight w:val="875"/>
        </w:trPr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  <w:bCs/>
              </w:rPr>
            </w:pPr>
            <w:r w:rsidRPr="00CC5CCD">
              <w:rPr>
                <w:b/>
                <w:bCs/>
              </w:rPr>
              <w:t>211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</w:rPr>
            </w:pPr>
            <w:r w:rsidRPr="00CC5CCD">
              <w:rPr>
                <w:b/>
              </w:rPr>
              <w:t>21100</w:t>
            </w:r>
          </w:p>
        </w:tc>
        <w:tc>
          <w:tcPr>
            <w:tcW w:w="6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rPr>
                <w:b/>
              </w:rPr>
            </w:pPr>
            <w:r w:rsidRPr="00CC5CCD">
              <w:rPr>
                <w:b/>
              </w:rPr>
              <w:t>Выплата заработной платы, осуществляемая на основе  договоров (контрактов), в соответствии с законодательством  о муниципальной  гражданской службе, трудовым законодательством*</w:t>
            </w:r>
          </w:p>
        </w:tc>
      </w:tr>
      <w:tr w:rsidR="00CC5CCD" w:rsidRPr="00CC5CCD" w:rsidTr="00184E2C">
        <w:trPr>
          <w:trHeight w:val="875"/>
        </w:trPr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rPr>
                <w:bCs/>
              </w:rPr>
              <w:t>211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21101</w:t>
            </w:r>
          </w:p>
        </w:tc>
        <w:tc>
          <w:tcPr>
            <w:tcW w:w="6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Выплата заработной платы, осуществляемая на основе  договоров (контрактов), в соответствии с законодательством  о муниципальной  гражданской службе, трудовым законодательством</w:t>
            </w:r>
          </w:p>
        </w:tc>
      </w:tr>
      <w:tr w:rsidR="00CC5CCD" w:rsidRPr="00CC5CCD" w:rsidTr="00184E2C">
        <w:trPr>
          <w:trHeight w:val="875"/>
        </w:trPr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rPr>
                <w:bCs/>
              </w:rPr>
              <w:t>211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21102</w:t>
            </w:r>
          </w:p>
        </w:tc>
        <w:tc>
          <w:tcPr>
            <w:tcW w:w="6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Денежные выплаты отдельным категориям работников муниципальных учреждений Черноземельского  районного муниципального образования Республики Калмыкия, повышение оплаты труда которых предусмотрено  Указами Президента Российской Федерации от 7 мая 2012года №597, от 1 июня 2012года №761, от 28 декабря 2012года №1688по Министерству социального развития, труда и занятости населения Республики Калмыкия</w:t>
            </w:r>
          </w:p>
        </w:tc>
      </w:tr>
      <w:tr w:rsidR="00CC5CCD" w:rsidRPr="00CC5CCD" w:rsidTr="00184E2C">
        <w:trPr>
          <w:trHeight w:val="1044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  <w:bCs/>
              </w:rPr>
            </w:pPr>
            <w:r w:rsidRPr="00CC5CCD">
              <w:rPr>
                <w:b/>
                <w:bCs/>
              </w:rPr>
              <w:t>212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</w:rPr>
            </w:pPr>
            <w:r w:rsidRPr="00CC5CCD">
              <w:rPr>
                <w:b/>
              </w:rPr>
              <w:t>21200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rPr>
                <w:b/>
              </w:rPr>
            </w:pPr>
            <w:r w:rsidRPr="00CC5CCD">
              <w:rPr>
                <w:b/>
              </w:rPr>
              <w:t xml:space="preserve">Расходы по оплате  работодателем  в пользу работников и (или) их </w:t>
            </w:r>
            <w:proofErr w:type="gramStart"/>
            <w:r w:rsidRPr="00CC5CCD">
              <w:rPr>
                <w:b/>
              </w:rPr>
              <w:t>иждивенцев</w:t>
            </w:r>
            <w:proofErr w:type="gramEnd"/>
            <w:r w:rsidRPr="00CC5CCD">
              <w:rPr>
                <w:b/>
              </w:rPr>
              <w:t xml:space="preserve"> не относящихся к заработной плате дополнительных выплат и компенсаций, обусловленных условиями трудовых отношений, статусом работников в соответствии с законодательством РФ*</w:t>
            </w:r>
          </w:p>
        </w:tc>
      </w:tr>
      <w:tr w:rsidR="00CC5CCD" w:rsidRPr="00CC5CCD" w:rsidTr="00184E2C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Cs/>
              </w:rPr>
            </w:pPr>
            <w:r w:rsidRPr="00CC5CCD">
              <w:rPr>
                <w:bCs/>
              </w:rPr>
              <w:t>212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21201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Суточные при служебных командировках</w:t>
            </w:r>
          </w:p>
        </w:tc>
      </w:tr>
      <w:tr w:rsidR="00CC5CCD" w:rsidRPr="00CC5CCD" w:rsidTr="00184E2C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  <w:bCs/>
              </w:rPr>
            </w:pPr>
            <w:r w:rsidRPr="00CC5CCD">
              <w:rPr>
                <w:b/>
                <w:bCs/>
              </w:rPr>
              <w:t>213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</w:rPr>
            </w:pPr>
            <w:r w:rsidRPr="00CC5CCD">
              <w:rPr>
                <w:b/>
              </w:rPr>
              <w:t>21300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rPr>
                <w:b/>
              </w:rPr>
            </w:pPr>
            <w:r w:rsidRPr="00CC5CCD">
              <w:rPr>
                <w:b/>
              </w:rPr>
              <w:t>Расходы, связанные с начислениями на выплаты по оплате труда*</w:t>
            </w:r>
          </w:p>
          <w:p w:rsidR="00CC5CCD" w:rsidRPr="00CC5CCD" w:rsidRDefault="00CC5CCD" w:rsidP="00184E2C">
            <w:pPr>
              <w:rPr>
                <w:b/>
              </w:rPr>
            </w:pPr>
          </w:p>
        </w:tc>
      </w:tr>
      <w:tr w:rsidR="00CC5CCD" w:rsidRPr="00CC5CCD" w:rsidTr="00184E2C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rPr>
                <w:bCs/>
              </w:rPr>
              <w:t>213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21301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Расходы, связанные с начислениями на выплаты по оплате труда</w:t>
            </w:r>
          </w:p>
          <w:p w:rsidR="00CC5CCD" w:rsidRPr="00CC5CCD" w:rsidRDefault="00CC5CCD" w:rsidP="00184E2C"/>
        </w:tc>
      </w:tr>
      <w:tr w:rsidR="00CC5CCD" w:rsidRPr="00CC5CCD" w:rsidTr="00184E2C">
        <w:trPr>
          <w:trHeight w:val="285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rPr>
                <w:bCs/>
              </w:rPr>
              <w:t>213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21302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Расходы, связанные с начислениями на денежные выплаты отдельным категориям работников муниципальных учреждений Черноземельского  районного муниципального образования Республики Калмыкия, повышение оплаты труда которых предусмотрено  Указами Президента Российской Федерации от 7 мая 2012года №597, от 1 июня 2012года №761, от 28 декабря 2012года №1688.</w:t>
            </w:r>
          </w:p>
          <w:p w:rsidR="00CC5CCD" w:rsidRPr="00CC5CCD" w:rsidRDefault="00CC5CCD" w:rsidP="00184E2C"/>
        </w:tc>
      </w:tr>
      <w:tr w:rsidR="00CC5CCD" w:rsidRPr="00CC5CCD" w:rsidTr="00184E2C">
        <w:trPr>
          <w:trHeight w:val="158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  <w:bCs/>
              </w:rPr>
            </w:pPr>
            <w:r w:rsidRPr="00CC5CCD">
              <w:rPr>
                <w:b/>
                <w:bCs/>
              </w:rPr>
              <w:t>221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</w:rPr>
            </w:pPr>
            <w:r w:rsidRPr="00CC5CCD">
              <w:rPr>
                <w:b/>
              </w:rPr>
              <w:t>22100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rPr>
                <w:b/>
              </w:rPr>
            </w:pPr>
            <w:r w:rsidRPr="00CC5CCD">
              <w:rPr>
                <w:b/>
              </w:rPr>
              <w:t>Расходы на приобретение услуг связи*</w:t>
            </w:r>
          </w:p>
        </w:tc>
      </w:tr>
      <w:tr w:rsidR="00CC5CCD" w:rsidRPr="00CC5CCD" w:rsidTr="00184E2C">
        <w:trPr>
          <w:trHeight w:val="393"/>
        </w:trPr>
        <w:tc>
          <w:tcPr>
            <w:tcW w:w="15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Cs/>
              </w:rPr>
            </w:pPr>
            <w:r w:rsidRPr="00CC5CCD">
              <w:rPr>
                <w:bCs/>
              </w:rPr>
              <w:t>221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22101</w:t>
            </w:r>
          </w:p>
        </w:tc>
        <w:tc>
          <w:tcPr>
            <w:tcW w:w="6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Расходы на приобретение услуг связи</w:t>
            </w:r>
          </w:p>
        </w:tc>
      </w:tr>
      <w:tr w:rsidR="00CC5CCD" w:rsidRPr="00CC5CCD" w:rsidTr="00184E2C">
        <w:trPr>
          <w:trHeight w:val="223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rPr>
                <w:bCs/>
              </w:rPr>
              <w:t>221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22102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Расходы на интернет</w:t>
            </w:r>
          </w:p>
        </w:tc>
      </w:tr>
      <w:tr w:rsidR="00CC5CCD" w:rsidRPr="00CC5CCD" w:rsidTr="00184E2C">
        <w:trPr>
          <w:trHeight w:val="223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</w:rPr>
            </w:pPr>
            <w:r w:rsidRPr="00CC5CCD">
              <w:rPr>
                <w:b/>
              </w:rPr>
              <w:t>222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</w:rPr>
            </w:pPr>
            <w:r w:rsidRPr="00CC5CCD">
              <w:rPr>
                <w:b/>
              </w:rPr>
              <w:t>22200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rPr>
                <w:b/>
              </w:rPr>
            </w:pPr>
            <w:r w:rsidRPr="00CC5CCD">
              <w:rPr>
                <w:b/>
              </w:rPr>
              <w:t>Расходы на приобретение транспортных услуг*</w:t>
            </w:r>
          </w:p>
        </w:tc>
      </w:tr>
      <w:tr w:rsidR="00CC5CCD" w:rsidRPr="00CC5CCD" w:rsidTr="00184E2C">
        <w:trPr>
          <w:trHeight w:val="635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lastRenderedPageBreak/>
              <w:t>222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22201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Расходы на оказание услуг перевозки  на основании договора автотранспортного обслуживания</w:t>
            </w:r>
          </w:p>
        </w:tc>
      </w:tr>
      <w:tr w:rsidR="00CC5CCD" w:rsidRPr="00CC5CCD" w:rsidTr="00184E2C">
        <w:trPr>
          <w:trHeight w:val="344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Cs/>
              </w:rPr>
            </w:pPr>
            <w:r w:rsidRPr="00CC5CCD">
              <w:rPr>
                <w:bCs/>
              </w:rPr>
              <w:t>222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22202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Оплата проезда к месту  служебной командировки и обратно</w:t>
            </w:r>
          </w:p>
        </w:tc>
      </w:tr>
      <w:tr w:rsidR="00CC5CCD" w:rsidRPr="00CC5CCD" w:rsidTr="00184E2C">
        <w:trPr>
          <w:trHeight w:val="344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  <w:bCs/>
              </w:rPr>
            </w:pPr>
            <w:r w:rsidRPr="00CC5CCD">
              <w:rPr>
                <w:b/>
                <w:bCs/>
              </w:rPr>
              <w:t>223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</w:rPr>
            </w:pPr>
            <w:r w:rsidRPr="00CC5CCD">
              <w:rPr>
                <w:b/>
              </w:rPr>
              <w:t>22300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rPr>
                <w:b/>
              </w:rPr>
            </w:pPr>
            <w:r w:rsidRPr="00CC5CCD">
              <w:rPr>
                <w:b/>
              </w:rPr>
              <w:t>Расходы на приобретение коммунальных услуг*</w:t>
            </w:r>
          </w:p>
        </w:tc>
      </w:tr>
      <w:tr w:rsidR="00CC5CCD" w:rsidRPr="00CC5CCD" w:rsidTr="00184E2C">
        <w:trPr>
          <w:trHeight w:val="32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rPr>
                <w:bCs/>
              </w:rPr>
              <w:t>223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22301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Оплата электроэнергии</w:t>
            </w:r>
          </w:p>
        </w:tc>
      </w:tr>
      <w:tr w:rsidR="00CC5CCD" w:rsidRPr="00CC5CCD" w:rsidTr="00184E2C">
        <w:trPr>
          <w:trHeight w:val="33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rPr>
                <w:bCs/>
              </w:rPr>
              <w:t>223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22302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Оплата отопления</w:t>
            </w:r>
          </w:p>
        </w:tc>
      </w:tr>
      <w:tr w:rsidR="00CC5CCD" w:rsidRPr="00CC5CCD" w:rsidTr="00184E2C">
        <w:trPr>
          <w:trHeight w:val="360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rPr>
                <w:bCs/>
              </w:rPr>
              <w:t>223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22303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 xml:space="preserve">Оплата потребления газа </w:t>
            </w:r>
          </w:p>
        </w:tc>
      </w:tr>
      <w:tr w:rsidR="00CC5CCD" w:rsidRPr="00CC5CCD" w:rsidTr="00184E2C">
        <w:trPr>
          <w:trHeight w:val="328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rPr>
                <w:bCs/>
              </w:rPr>
              <w:t>223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22304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Оплата водоснабжения</w:t>
            </w:r>
          </w:p>
        </w:tc>
      </w:tr>
      <w:tr w:rsidR="00CC5CCD" w:rsidRPr="00CC5CCD" w:rsidTr="00184E2C">
        <w:trPr>
          <w:trHeight w:val="539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rPr>
                <w:bCs/>
              </w:rPr>
              <w:t>223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22305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Расходы по оплате договоров гражданско-правового характера, заключенных с кочегарами и сезонными истопниками</w:t>
            </w:r>
          </w:p>
        </w:tc>
      </w:tr>
      <w:tr w:rsidR="00CC5CCD" w:rsidRPr="00CC5CCD" w:rsidTr="00184E2C">
        <w:trPr>
          <w:trHeight w:val="340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rPr>
                <w:bCs/>
              </w:rPr>
              <w:t>223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22306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Оплата ассенизации</w:t>
            </w:r>
          </w:p>
        </w:tc>
      </w:tr>
      <w:tr w:rsidR="00CC5CCD" w:rsidRPr="00CC5CCD" w:rsidTr="00184E2C">
        <w:trPr>
          <w:trHeight w:val="681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  <w:bCs/>
              </w:rPr>
            </w:pPr>
            <w:r w:rsidRPr="00CC5CCD">
              <w:rPr>
                <w:b/>
                <w:bCs/>
              </w:rPr>
              <w:t>224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</w:rPr>
            </w:pPr>
            <w:r w:rsidRPr="00CC5CCD">
              <w:rPr>
                <w:b/>
              </w:rPr>
              <w:t>22400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rPr>
                <w:b/>
              </w:rPr>
            </w:pPr>
            <w:r w:rsidRPr="00CC5CCD">
              <w:rPr>
                <w:b/>
              </w:rPr>
              <w:t>Расходы по оплате арендной платы в соответствии с заключенными договорами аренды (субаренды, имущественного найма, проката) объектов нефинансовых активов</w:t>
            </w:r>
          </w:p>
        </w:tc>
      </w:tr>
      <w:tr w:rsidR="00CC5CCD" w:rsidRPr="00CC5CCD" w:rsidTr="00184E2C">
        <w:trPr>
          <w:trHeight w:val="32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  <w:bCs/>
              </w:rPr>
            </w:pPr>
            <w:r w:rsidRPr="00CC5CCD">
              <w:rPr>
                <w:b/>
                <w:bCs/>
              </w:rPr>
              <w:t>225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</w:rPr>
            </w:pPr>
            <w:r w:rsidRPr="00CC5CCD">
              <w:rPr>
                <w:b/>
              </w:rPr>
              <w:t>22500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CCD" w:rsidRPr="00CC5CCD" w:rsidRDefault="00CC5CCD" w:rsidP="00184E2C">
            <w:pPr>
              <w:rPr>
                <w:b/>
              </w:rPr>
            </w:pPr>
            <w:r w:rsidRPr="00CC5CCD">
              <w:rPr>
                <w:b/>
              </w:rPr>
              <w:t>Работы, услуги по содержанию имущества*</w:t>
            </w:r>
          </w:p>
        </w:tc>
      </w:tr>
      <w:tr w:rsidR="00CC5CCD" w:rsidRPr="00CC5CCD" w:rsidTr="00184E2C">
        <w:trPr>
          <w:trHeight w:val="90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Cs/>
              </w:rPr>
            </w:pPr>
            <w:r w:rsidRPr="00CC5CCD">
              <w:rPr>
                <w:bCs/>
              </w:rPr>
              <w:t>225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22501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CCD" w:rsidRPr="00CC5CCD" w:rsidRDefault="00CC5CCD" w:rsidP="00184E2C">
            <w:r w:rsidRPr="00CC5CCD">
              <w:t>Расходы по оплате договоров гражданско-правового характера на выполнение работ, оказание услуг по содержанию имущества, заключенных с физическими лицами.</w:t>
            </w:r>
          </w:p>
        </w:tc>
      </w:tr>
      <w:tr w:rsidR="00CC5CCD" w:rsidRPr="00CC5CCD" w:rsidTr="00184E2C">
        <w:trPr>
          <w:trHeight w:val="33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22502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roofErr w:type="gramStart"/>
            <w:r w:rsidRPr="00CC5CCD">
              <w:t>Содержание нефинансовых активов в чистоте (вывоз снега, мусора, ТБО), дезинфекция, дезинсекция, дератизация, газация, мойка и чистка полов, санитарно-гигиеническое обслуживание</w:t>
            </w:r>
            <w:proofErr w:type="gramEnd"/>
          </w:p>
        </w:tc>
      </w:tr>
      <w:tr w:rsidR="00CC5CCD" w:rsidRPr="00CC5CCD" w:rsidTr="00184E2C">
        <w:trPr>
          <w:trHeight w:val="427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22503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Текущий ремонт  нефинансовых активов</w:t>
            </w:r>
          </w:p>
        </w:tc>
      </w:tr>
      <w:tr w:rsidR="00CC5CCD" w:rsidRPr="00CC5CCD" w:rsidTr="00184E2C">
        <w:trPr>
          <w:trHeight w:val="338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22504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Капитальный ремонт нефинансовых активов</w:t>
            </w:r>
          </w:p>
        </w:tc>
      </w:tr>
      <w:tr w:rsidR="00CC5CCD" w:rsidRPr="00CC5CCD" w:rsidTr="00184E2C">
        <w:trPr>
          <w:trHeight w:val="334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22505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Противопожарные мероприятия, связанные с содержанием имущества</w:t>
            </w:r>
          </w:p>
        </w:tc>
      </w:tr>
      <w:tr w:rsidR="00CC5CCD" w:rsidRPr="00CC5CCD" w:rsidTr="00184E2C">
        <w:trPr>
          <w:trHeight w:val="205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22506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Расходы на оплату работ (услуг), осуществляемых в целях соблюдения нормативных предписаний по эксплуатации (содержанию) имущества, также в целях определения его технического состояния (государственная поверка, паспортизация, клеймении средств измерений, в том числе весового хозяйства, манометров, приборов учета)</w:t>
            </w:r>
            <w:proofErr w:type="gramStart"/>
            <w:r w:rsidRPr="00CC5CCD">
              <w:t>,о</w:t>
            </w:r>
            <w:proofErr w:type="gramEnd"/>
            <w:r w:rsidRPr="00CC5CCD">
              <w:t>бследование технического состояния , энергетическое обследование, пусконаладочные работы</w:t>
            </w:r>
          </w:p>
        </w:tc>
      </w:tr>
      <w:tr w:rsidR="00CC5CCD" w:rsidRPr="00CC5CCD" w:rsidTr="00184E2C">
        <w:trPr>
          <w:trHeight w:val="205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22507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Заправка картриджей</w:t>
            </w:r>
          </w:p>
          <w:p w:rsidR="00CC5CCD" w:rsidRPr="00CC5CCD" w:rsidRDefault="00CC5CCD" w:rsidP="00184E2C"/>
        </w:tc>
      </w:tr>
      <w:tr w:rsidR="00CC5CCD" w:rsidRPr="00CC5CCD" w:rsidTr="00184E2C">
        <w:trPr>
          <w:trHeight w:val="205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22508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Другие аналогичные расходы</w:t>
            </w:r>
          </w:p>
        </w:tc>
      </w:tr>
      <w:tr w:rsidR="00CC5CCD" w:rsidRPr="00CC5CCD" w:rsidTr="00184E2C">
        <w:trPr>
          <w:trHeight w:val="398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  <w:bCs/>
              </w:rPr>
            </w:pPr>
            <w:r w:rsidRPr="00CC5CCD">
              <w:rPr>
                <w:b/>
                <w:bCs/>
              </w:rPr>
              <w:t>226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</w:rPr>
            </w:pPr>
            <w:r w:rsidRPr="00CC5CCD">
              <w:rPr>
                <w:b/>
              </w:rPr>
              <w:t>22600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rPr>
                <w:b/>
              </w:rPr>
            </w:pPr>
            <w:r w:rsidRPr="00CC5CCD">
              <w:rPr>
                <w:b/>
              </w:rPr>
              <w:t>Прочие работы, услуги*</w:t>
            </w:r>
          </w:p>
        </w:tc>
      </w:tr>
      <w:tr w:rsidR="00CC5CCD" w:rsidRPr="00CC5CCD" w:rsidTr="00184E2C">
        <w:trPr>
          <w:trHeight w:val="716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Cs/>
              </w:rPr>
            </w:pPr>
            <w:r w:rsidRPr="00CC5CCD">
              <w:rPr>
                <w:bCs/>
              </w:rPr>
              <w:t>226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22601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Расходы по оплате договоров гражданско-правового характера на выполнение прочих работ, услуг, заключенных с физическими лицами</w:t>
            </w:r>
          </w:p>
        </w:tc>
      </w:tr>
      <w:tr w:rsidR="00CC5CCD" w:rsidRPr="00CC5CCD" w:rsidTr="00184E2C">
        <w:trPr>
          <w:trHeight w:val="35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Cs/>
              </w:rPr>
            </w:pPr>
            <w:r w:rsidRPr="00CC5CCD">
              <w:rPr>
                <w:bCs/>
              </w:rPr>
              <w:t>226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22602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 xml:space="preserve">Разработка проектной и сметной документации для строительства, реконструкции и ремонта объектов </w:t>
            </w:r>
            <w:r w:rsidRPr="00CC5CCD">
              <w:lastRenderedPageBreak/>
              <w:t>нефинансовых активов</w:t>
            </w:r>
          </w:p>
        </w:tc>
      </w:tr>
      <w:tr w:rsidR="00CC5CCD" w:rsidRPr="00CC5CCD" w:rsidTr="00184E2C">
        <w:trPr>
          <w:trHeight w:val="172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Cs/>
              </w:rPr>
            </w:pPr>
            <w:r w:rsidRPr="00CC5CCD">
              <w:rPr>
                <w:bCs/>
              </w:rPr>
              <w:lastRenderedPageBreak/>
              <w:t>226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22603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Оплата за проживание в жилых помещениях при служебных командировках, учебной практике, соревнованиях</w:t>
            </w:r>
          </w:p>
        </w:tc>
      </w:tr>
      <w:tr w:rsidR="00CC5CCD" w:rsidRPr="00CC5CCD" w:rsidTr="00184E2C">
        <w:trPr>
          <w:trHeight w:val="172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Cs/>
              </w:rPr>
            </w:pPr>
            <w:r w:rsidRPr="00CC5CCD">
              <w:rPr>
                <w:bCs/>
              </w:rPr>
              <w:t>226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22604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Услуги по страхованию имущества гражданской ответственности и здоровья</w:t>
            </w:r>
          </w:p>
        </w:tc>
      </w:tr>
      <w:tr w:rsidR="00CC5CCD" w:rsidRPr="00CC5CCD" w:rsidTr="00184E2C">
        <w:trPr>
          <w:trHeight w:val="172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Cs/>
              </w:rPr>
            </w:pPr>
            <w:r w:rsidRPr="00CC5CCD">
              <w:rPr>
                <w:bCs/>
              </w:rPr>
              <w:t>226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22605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Услуги в области информационных технологий</w:t>
            </w:r>
          </w:p>
        </w:tc>
      </w:tr>
      <w:tr w:rsidR="00CC5CCD" w:rsidRPr="00CC5CCD" w:rsidTr="00184E2C">
        <w:trPr>
          <w:trHeight w:val="399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Cs/>
              </w:rPr>
            </w:pPr>
            <w:r w:rsidRPr="00CC5CCD">
              <w:rPr>
                <w:bCs/>
              </w:rPr>
              <w:t>226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22606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Медицинские услуги</w:t>
            </w:r>
          </w:p>
        </w:tc>
      </w:tr>
      <w:tr w:rsidR="00CC5CCD" w:rsidRPr="00CC5CCD" w:rsidTr="00184E2C">
        <w:trPr>
          <w:trHeight w:val="172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Cs/>
              </w:rPr>
            </w:pPr>
            <w:r w:rsidRPr="00CC5CCD">
              <w:rPr>
                <w:bCs/>
              </w:rPr>
              <w:t>226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22607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Подписка на периодические и справочные издания, услуги рекламного характера</w:t>
            </w:r>
          </w:p>
        </w:tc>
      </w:tr>
      <w:tr w:rsidR="00CC5CCD" w:rsidRPr="00CC5CCD" w:rsidTr="00184E2C">
        <w:trPr>
          <w:trHeight w:val="172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Cs/>
              </w:rPr>
            </w:pPr>
            <w:r w:rsidRPr="00CC5CCD">
              <w:rPr>
                <w:bCs/>
              </w:rPr>
              <w:t>226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22608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Монтажные работы (охранная, пожарная сигнализация, система видеонаблюдения, тревожная кнопка)</w:t>
            </w:r>
          </w:p>
        </w:tc>
      </w:tr>
      <w:tr w:rsidR="00CC5CCD" w:rsidRPr="00CC5CCD" w:rsidTr="00184E2C">
        <w:trPr>
          <w:trHeight w:val="172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Cs/>
              </w:rPr>
            </w:pPr>
            <w:r w:rsidRPr="00CC5CCD">
              <w:rPr>
                <w:bCs/>
              </w:rPr>
              <w:t>226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22609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Услуги по организации проведения торгов</w:t>
            </w:r>
          </w:p>
        </w:tc>
      </w:tr>
      <w:tr w:rsidR="00CC5CCD" w:rsidRPr="00CC5CCD" w:rsidTr="00184E2C">
        <w:trPr>
          <w:trHeight w:val="172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Cs/>
              </w:rPr>
            </w:pPr>
            <w:r w:rsidRPr="00CC5CCD">
              <w:rPr>
                <w:bCs/>
              </w:rPr>
              <w:t>226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22610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Услуги, оказываемые в рамках договора комиссии, расходы на оплату услуг по организации питания.</w:t>
            </w:r>
          </w:p>
        </w:tc>
      </w:tr>
      <w:tr w:rsidR="00CC5CCD" w:rsidRPr="00CC5CCD" w:rsidTr="00184E2C">
        <w:trPr>
          <w:trHeight w:val="172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Cs/>
              </w:rPr>
            </w:pPr>
            <w:r w:rsidRPr="00CC5CCD">
              <w:rPr>
                <w:bCs/>
              </w:rPr>
              <w:t>226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22611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Другие  аналогичные расходы</w:t>
            </w:r>
          </w:p>
        </w:tc>
      </w:tr>
      <w:tr w:rsidR="00CC5CCD" w:rsidRPr="00CC5CCD" w:rsidTr="00184E2C">
        <w:trPr>
          <w:trHeight w:val="172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  <w:bCs/>
              </w:rPr>
            </w:pPr>
            <w:r w:rsidRPr="00CC5CCD">
              <w:rPr>
                <w:b/>
                <w:bCs/>
              </w:rPr>
              <w:t>231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</w:rPr>
            </w:pPr>
            <w:r w:rsidRPr="00CC5CCD">
              <w:rPr>
                <w:b/>
              </w:rPr>
              <w:t>23100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rPr>
                <w:b/>
              </w:rPr>
            </w:pPr>
            <w:r w:rsidRPr="00CC5CCD">
              <w:rPr>
                <w:b/>
              </w:rPr>
              <w:t>Расходы на обслуживание внутреннего долга</w:t>
            </w:r>
          </w:p>
        </w:tc>
      </w:tr>
      <w:tr w:rsidR="00CC5CCD" w:rsidRPr="00CC5CCD" w:rsidTr="00184E2C">
        <w:trPr>
          <w:trHeight w:val="417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  <w:bCs/>
              </w:rPr>
            </w:pPr>
            <w:r w:rsidRPr="00CC5CCD">
              <w:rPr>
                <w:b/>
                <w:bCs/>
              </w:rPr>
              <w:t>241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</w:rPr>
            </w:pPr>
            <w:r w:rsidRPr="00CC5CCD">
              <w:rPr>
                <w:b/>
              </w:rPr>
              <w:t>24100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rPr>
                <w:b/>
              </w:rPr>
            </w:pPr>
            <w:r w:rsidRPr="00CC5CCD">
              <w:rPr>
                <w:b/>
              </w:rPr>
              <w:t>Безвозмездные перечисления государственным и муниципальным организациям</w:t>
            </w:r>
          </w:p>
        </w:tc>
      </w:tr>
      <w:tr w:rsidR="00CC5CCD" w:rsidRPr="00CC5CCD" w:rsidTr="00184E2C">
        <w:trPr>
          <w:trHeight w:val="563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  <w:bCs/>
              </w:rPr>
            </w:pPr>
            <w:r w:rsidRPr="00CC5CCD">
              <w:rPr>
                <w:b/>
                <w:bCs/>
              </w:rPr>
              <w:t>242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</w:rPr>
            </w:pPr>
            <w:r w:rsidRPr="00CC5CCD">
              <w:rPr>
                <w:b/>
              </w:rPr>
              <w:t>24200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rPr>
                <w:b/>
              </w:rPr>
            </w:pPr>
            <w:r w:rsidRPr="00CC5CCD">
              <w:rPr>
                <w:b/>
              </w:rPr>
              <w:t>Безвозмездные перечисления организациям за исключением государственных и муниципальных организаций</w:t>
            </w:r>
          </w:p>
        </w:tc>
      </w:tr>
      <w:tr w:rsidR="00CC5CCD" w:rsidRPr="00CC5CCD" w:rsidTr="00184E2C">
        <w:trPr>
          <w:trHeight w:val="515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</w:rPr>
            </w:pPr>
            <w:r w:rsidRPr="00CC5CCD">
              <w:rPr>
                <w:b/>
              </w:rPr>
              <w:t>251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</w:rPr>
            </w:pPr>
            <w:r w:rsidRPr="00CC5CCD">
              <w:rPr>
                <w:b/>
              </w:rPr>
              <w:t>25100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rPr>
                <w:b/>
              </w:rPr>
            </w:pPr>
            <w:r w:rsidRPr="00CC5CCD">
              <w:rPr>
                <w:b/>
              </w:rPr>
              <w:t>Перечисления другим бюджетам бюджетной системы Республики Калмыкия</w:t>
            </w:r>
          </w:p>
        </w:tc>
      </w:tr>
      <w:tr w:rsidR="00CC5CCD" w:rsidRPr="00CC5CCD" w:rsidTr="00184E2C">
        <w:trPr>
          <w:trHeight w:val="693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  <w:bCs/>
              </w:rPr>
            </w:pPr>
            <w:r w:rsidRPr="00CC5CCD">
              <w:rPr>
                <w:b/>
                <w:bCs/>
              </w:rPr>
              <w:t>261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</w:rPr>
            </w:pPr>
            <w:r w:rsidRPr="00CC5CCD">
              <w:rPr>
                <w:b/>
              </w:rPr>
              <w:t>26100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rPr>
                <w:b/>
              </w:rPr>
            </w:pPr>
            <w:r w:rsidRPr="00CC5CCD">
              <w:rPr>
                <w:b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CC5CCD" w:rsidRPr="00CC5CCD" w:rsidTr="00184E2C">
        <w:trPr>
          <w:trHeight w:val="340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  <w:bCs/>
              </w:rPr>
            </w:pPr>
            <w:r w:rsidRPr="00CC5CCD">
              <w:rPr>
                <w:b/>
                <w:bCs/>
              </w:rPr>
              <w:t>262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</w:rPr>
            </w:pPr>
            <w:r w:rsidRPr="00CC5CCD">
              <w:rPr>
                <w:b/>
              </w:rPr>
              <w:t>26200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rPr>
                <w:b/>
              </w:rPr>
            </w:pPr>
            <w:r w:rsidRPr="00CC5CCD">
              <w:rPr>
                <w:b/>
              </w:rPr>
              <w:t>Пособия по социальной помощи населению</w:t>
            </w:r>
          </w:p>
        </w:tc>
      </w:tr>
      <w:tr w:rsidR="00CC5CCD" w:rsidRPr="00CC5CCD" w:rsidTr="00184E2C">
        <w:trPr>
          <w:trHeight w:val="415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  <w:bCs/>
              </w:rPr>
            </w:pPr>
            <w:r w:rsidRPr="00CC5CCD">
              <w:rPr>
                <w:b/>
                <w:bCs/>
              </w:rPr>
              <w:t>263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</w:rPr>
            </w:pPr>
            <w:r w:rsidRPr="00CC5CCD">
              <w:rPr>
                <w:b/>
              </w:rPr>
              <w:t>26300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rPr>
                <w:b/>
              </w:rPr>
            </w:pPr>
            <w:r w:rsidRPr="00CC5CCD">
              <w:rPr>
                <w:b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CC5CCD" w:rsidRPr="00CC5CCD" w:rsidTr="00184E2C">
        <w:trPr>
          <w:trHeight w:val="201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</w:rPr>
            </w:pPr>
            <w:r w:rsidRPr="00CC5CCD">
              <w:rPr>
                <w:b/>
              </w:rPr>
              <w:t>290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</w:rPr>
            </w:pPr>
            <w:r w:rsidRPr="00CC5CCD">
              <w:rPr>
                <w:b/>
              </w:rPr>
              <w:t>29000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rPr>
                <w:b/>
              </w:rPr>
            </w:pPr>
            <w:r w:rsidRPr="00CC5CCD">
              <w:rPr>
                <w:b/>
              </w:rPr>
              <w:t>Прочие расходы*</w:t>
            </w:r>
          </w:p>
        </w:tc>
      </w:tr>
      <w:tr w:rsidR="00CC5CCD" w:rsidRPr="00CC5CCD" w:rsidTr="00184E2C">
        <w:trPr>
          <w:trHeight w:val="200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Cs/>
              </w:rPr>
            </w:pPr>
            <w:r w:rsidRPr="00CC5CCD">
              <w:rPr>
                <w:bCs/>
              </w:rPr>
              <w:t>290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29001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Налог на имущество организаций</w:t>
            </w:r>
          </w:p>
        </w:tc>
      </w:tr>
      <w:tr w:rsidR="00CC5CCD" w:rsidRPr="00CC5CCD" w:rsidTr="00184E2C">
        <w:trPr>
          <w:trHeight w:val="207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29002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Земельный налог</w:t>
            </w:r>
          </w:p>
        </w:tc>
      </w:tr>
      <w:tr w:rsidR="00CC5CCD" w:rsidRPr="00CC5CCD" w:rsidTr="00184E2C">
        <w:trPr>
          <w:trHeight w:val="274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29003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Транспортный налог</w:t>
            </w:r>
          </w:p>
        </w:tc>
      </w:tr>
      <w:tr w:rsidR="00CC5CCD" w:rsidRPr="00CC5CCD" w:rsidTr="00184E2C">
        <w:trPr>
          <w:trHeight w:val="324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Cs/>
              </w:rPr>
            </w:pPr>
            <w:r w:rsidRPr="00CC5CCD">
              <w:rPr>
                <w:bCs/>
              </w:rPr>
              <w:t>290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29004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Государственная пошлина</w:t>
            </w:r>
          </w:p>
        </w:tc>
      </w:tr>
      <w:tr w:rsidR="00CC5CCD" w:rsidRPr="00CC5CCD" w:rsidTr="00184E2C">
        <w:trPr>
          <w:trHeight w:val="324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Cs/>
              </w:rPr>
            </w:pPr>
            <w:r w:rsidRPr="00CC5CCD">
              <w:rPr>
                <w:bCs/>
              </w:rPr>
              <w:t>290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29005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Штрафы, пени</w:t>
            </w:r>
          </w:p>
        </w:tc>
      </w:tr>
      <w:tr w:rsidR="00CC5CCD" w:rsidRPr="00CC5CCD" w:rsidTr="00184E2C">
        <w:trPr>
          <w:trHeight w:val="324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Cs/>
              </w:rPr>
            </w:pPr>
            <w:r w:rsidRPr="00CC5CCD">
              <w:rPr>
                <w:bCs/>
              </w:rPr>
              <w:t>290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29006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Погашение задолженности по налогам и сборами иным обязательным платежам</w:t>
            </w:r>
          </w:p>
        </w:tc>
      </w:tr>
      <w:tr w:rsidR="00CC5CCD" w:rsidRPr="00CC5CCD" w:rsidTr="00184E2C">
        <w:trPr>
          <w:trHeight w:val="324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Cs/>
              </w:rPr>
            </w:pPr>
            <w:r w:rsidRPr="00CC5CCD">
              <w:rPr>
                <w:bCs/>
              </w:rPr>
              <w:t>290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29007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Плата за загрязнение окружающей среды, иные налоги, сборы и обязательные платежи, а также платежи в форме паевых, членских и иных взносов</w:t>
            </w:r>
          </w:p>
        </w:tc>
      </w:tr>
      <w:tr w:rsidR="00CC5CCD" w:rsidRPr="00CC5CCD" w:rsidTr="00184E2C">
        <w:trPr>
          <w:trHeight w:val="324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Cs/>
              </w:rPr>
            </w:pPr>
            <w:r w:rsidRPr="00CC5CCD">
              <w:rPr>
                <w:bCs/>
              </w:rPr>
              <w:t>290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29008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Оплата  труда учащихся школ в трудовых отрядах</w:t>
            </w:r>
          </w:p>
        </w:tc>
      </w:tr>
      <w:tr w:rsidR="00CC5CCD" w:rsidRPr="00CC5CCD" w:rsidTr="00184E2C">
        <w:trPr>
          <w:trHeight w:val="324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Cs/>
              </w:rPr>
            </w:pPr>
            <w:r w:rsidRPr="00CC5CCD">
              <w:rPr>
                <w:bCs/>
              </w:rPr>
              <w:t>290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29009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rPr>
                <w:highlight w:val="yellow"/>
              </w:rPr>
            </w:pPr>
            <w:proofErr w:type="gramStart"/>
            <w:r w:rsidRPr="00CC5CCD">
              <w:t>Выплата стипендий, выплата грантов, денежных компенсаций, надбавок иных выплат, возмещение убытков и вреда, приобретение подарочной и сувенирной продукции (открытки, почетные грамоты, дипломы удостоверения, приветственные адреса, цветы), иные расходы (представительские расходы и обслуживание делегаций)</w:t>
            </w:r>
            <w:proofErr w:type="gramEnd"/>
          </w:p>
        </w:tc>
      </w:tr>
      <w:tr w:rsidR="00CC5CCD" w:rsidRPr="00CC5CCD" w:rsidTr="00184E2C">
        <w:trPr>
          <w:trHeight w:val="324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  <w:bCs/>
              </w:rPr>
            </w:pPr>
            <w:r w:rsidRPr="00CC5CCD">
              <w:rPr>
                <w:b/>
                <w:bCs/>
              </w:rPr>
              <w:lastRenderedPageBreak/>
              <w:t>310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</w:rPr>
            </w:pPr>
            <w:r w:rsidRPr="00CC5CCD">
              <w:rPr>
                <w:b/>
              </w:rPr>
              <w:t>31000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rPr>
                <w:b/>
              </w:rPr>
            </w:pPr>
            <w:r w:rsidRPr="00CC5CCD">
              <w:rPr>
                <w:b/>
              </w:rPr>
              <w:t>Увеличение стоимости основных средств*</w:t>
            </w:r>
          </w:p>
        </w:tc>
      </w:tr>
      <w:tr w:rsidR="00CC5CCD" w:rsidRPr="00CC5CCD" w:rsidTr="00184E2C">
        <w:trPr>
          <w:trHeight w:val="24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31001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Приобретение оргтехники</w:t>
            </w:r>
          </w:p>
        </w:tc>
      </w:tr>
      <w:tr w:rsidR="00CC5CCD" w:rsidRPr="00CC5CCD" w:rsidTr="00184E2C">
        <w:trPr>
          <w:trHeight w:val="24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31002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Приобретение мебели</w:t>
            </w:r>
          </w:p>
        </w:tc>
      </w:tr>
      <w:tr w:rsidR="00CC5CCD" w:rsidRPr="00CC5CCD" w:rsidTr="00184E2C">
        <w:trPr>
          <w:trHeight w:val="24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31003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Приобретение транспортных средств</w:t>
            </w:r>
          </w:p>
        </w:tc>
      </w:tr>
      <w:tr w:rsidR="00CC5CCD" w:rsidRPr="00CC5CCD" w:rsidTr="00184E2C">
        <w:trPr>
          <w:trHeight w:val="24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31004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Приобретение зданий, сооружений</w:t>
            </w:r>
          </w:p>
        </w:tc>
      </w:tr>
      <w:tr w:rsidR="00CC5CCD" w:rsidRPr="00CC5CCD" w:rsidTr="00184E2C">
        <w:trPr>
          <w:trHeight w:val="24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31005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Приобретение оборудования</w:t>
            </w:r>
          </w:p>
        </w:tc>
      </w:tr>
      <w:tr w:rsidR="00CC5CCD" w:rsidRPr="00CC5CCD" w:rsidTr="00184E2C">
        <w:trPr>
          <w:trHeight w:val="24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31006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Строительство, капитальный ремонт  реконструкция зданий, сооружений</w:t>
            </w:r>
          </w:p>
        </w:tc>
      </w:tr>
      <w:tr w:rsidR="00CC5CCD" w:rsidRPr="00CC5CCD" w:rsidTr="00184E2C">
        <w:trPr>
          <w:trHeight w:val="24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31007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Другие расходы</w:t>
            </w:r>
          </w:p>
        </w:tc>
      </w:tr>
      <w:tr w:rsidR="00CC5CCD" w:rsidRPr="00CC5CCD" w:rsidTr="00184E2C">
        <w:trPr>
          <w:trHeight w:val="24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  <w:bCs/>
              </w:rPr>
            </w:pPr>
            <w:r w:rsidRPr="00CC5CCD">
              <w:rPr>
                <w:b/>
                <w:bCs/>
              </w:rPr>
              <w:t>340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/>
              </w:rPr>
            </w:pPr>
            <w:r w:rsidRPr="00CC5CCD">
              <w:rPr>
                <w:b/>
              </w:rPr>
              <w:t>34000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rPr>
                <w:b/>
              </w:rPr>
            </w:pPr>
            <w:r w:rsidRPr="00CC5CCD">
              <w:rPr>
                <w:b/>
              </w:rPr>
              <w:t>Увеличение стоимости материальных запасов*</w:t>
            </w:r>
          </w:p>
        </w:tc>
      </w:tr>
      <w:tr w:rsidR="00CC5CCD" w:rsidRPr="00CC5CCD" w:rsidTr="00184E2C">
        <w:trPr>
          <w:trHeight w:val="24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  <w:rPr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34001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Приобретение продуктов питания</w:t>
            </w:r>
          </w:p>
        </w:tc>
      </w:tr>
      <w:tr w:rsidR="00CC5CCD" w:rsidRPr="00CC5CCD" w:rsidTr="00184E2C">
        <w:trPr>
          <w:trHeight w:val="250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34002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Приобретение медикаментов и перевязочных средств</w:t>
            </w:r>
          </w:p>
        </w:tc>
      </w:tr>
      <w:tr w:rsidR="00CC5CCD" w:rsidRPr="00CC5CCD" w:rsidTr="00184E2C">
        <w:trPr>
          <w:trHeight w:val="22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34003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Приобретение запасных частей</w:t>
            </w:r>
          </w:p>
        </w:tc>
      </w:tr>
      <w:tr w:rsidR="00CC5CCD" w:rsidRPr="00CC5CCD" w:rsidTr="00184E2C">
        <w:trPr>
          <w:trHeight w:val="261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34004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Приобретение горюче-смазочных материалов</w:t>
            </w:r>
          </w:p>
        </w:tc>
      </w:tr>
      <w:tr w:rsidR="00CC5CCD" w:rsidRPr="00CC5CCD" w:rsidTr="00184E2C">
        <w:trPr>
          <w:trHeight w:val="252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34005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 xml:space="preserve">Приобретение строительных материалов </w:t>
            </w:r>
          </w:p>
        </w:tc>
      </w:tr>
      <w:tr w:rsidR="00CC5CCD" w:rsidRPr="00CC5CCD" w:rsidTr="00184E2C">
        <w:trPr>
          <w:trHeight w:val="17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34006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Приобретение мягкого инвентаря</w:t>
            </w:r>
          </w:p>
        </w:tc>
      </w:tr>
      <w:tr w:rsidR="00CC5CCD" w:rsidRPr="00CC5CCD" w:rsidTr="00184E2C">
        <w:trPr>
          <w:trHeight w:val="17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34007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Приобретение канцелярских и хозяйственных товаров</w:t>
            </w:r>
          </w:p>
        </w:tc>
      </w:tr>
      <w:tr w:rsidR="00CC5CCD" w:rsidRPr="00CC5CCD" w:rsidTr="00184E2C">
        <w:trPr>
          <w:trHeight w:val="17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pPr>
              <w:jc w:val="center"/>
            </w:pPr>
            <w:r w:rsidRPr="00CC5CCD">
              <w:t>34008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CCD" w:rsidRPr="00CC5CCD" w:rsidRDefault="00CC5CCD" w:rsidP="00184E2C">
            <w:r w:rsidRPr="00CC5CCD">
              <w:t>Приобретение других расходных материалов</w:t>
            </w:r>
          </w:p>
        </w:tc>
      </w:tr>
    </w:tbl>
    <w:p w:rsidR="00CC5CCD" w:rsidRPr="00CC5CCD" w:rsidRDefault="00CC5CCD" w:rsidP="00CC5CCD"/>
    <w:p w:rsidR="00CC5CCD" w:rsidRPr="00CC5CCD" w:rsidRDefault="00CC5CCD" w:rsidP="00CC5CCD">
      <w:pPr>
        <w:rPr>
          <w:b/>
        </w:rPr>
      </w:pPr>
    </w:p>
    <w:p w:rsidR="00CC5CCD" w:rsidRPr="00CC5CCD" w:rsidRDefault="00CC5CCD" w:rsidP="00CC5CCD">
      <w:pPr>
        <w:rPr>
          <w:b/>
        </w:rPr>
      </w:pPr>
    </w:p>
    <w:p w:rsidR="00CB52E7" w:rsidRPr="00CC5CCD" w:rsidRDefault="00CB52E7"/>
    <w:sectPr w:rsidR="00CB52E7" w:rsidRPr="00CC5CCD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1B" w:rsidRDefault="00D03E1B" w:rsidP="00DE4447">
      <w:r>
        <w:separator/>
      </w:r>
    </w:p>
  </w:endnote>
  <w:endnote w:type="continuationSeparator" w:id="0">
    <w:p w:rsidR="00D03E1B" w:rsidRDefault="00D03E1B" w:rsidP="00DE4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CB" w:rsidRDefault="00DE4447" w:rsidP="00422D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16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CCB" w:rsidRDefault="00D03E1B" w:rsidP="00492C0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CB" w:rsidRDefault="00D03E1B" w:rsidP="00422D33">
    <w:pPr>
      <w:pStyle w:val="a3"/>
      <w:framePr w:h="713" w:hRule="exact" w:wrap="around" w:vAnchor="text" w:hAnchor="page" w:x="1621" w:yAlign="bottom"/>
      <w:rPr>
        <w:rStyle w:val="a5"/>
      </w:rPr>
    </w:pPr>
  </w:p>
  <w:p w:rsidR="001A3CCB" w:rsidRDefault="00D03E1B" w:rsidP="00422D33">
    <w:pPr>
      <w:pStyle w:val="a3"/>
      <w:framePr w:h="713" w:hRule="exact" w:wrap="around" w:vAnchor="text" w:hAnchor="page" w:x="1621" w:yAlign="bottom"/>
      <w:ind w:right="360"/>
      <w:rPr>
        <w:rStyle w:val="a5"/>
      </w:rPr>
    </w:pPr>
  </w:p>
  <w:p w:rsidR="001A3CCB" w:rsidRDefault="00D03E1B" w:rsidP="00422D33">
    <w:pPr>
      <w:pStyle w:val="a3"/>
      <w:framePr w:h="713" w:hRule="exact" w:wrap="around" w:vAnchor="text" w:hAnchor="page" w:x="1621" w:yAlign="bottom"/>
      <w:rPr>
        <w:rStyle w:val="a5"/>
      </w:rPr>
    </w:pPr>
  </w:p>
  <w:p w:rsidR="001A3CCB" w:rsidRDefault="00D03E1B" w:rsidP="00492C0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1B" w:rsidRDefault="00D03E1B" w:rsidP="00DE4447">
      <w:r>
        <w:separator/>
      </w:r>
    </w:p>
  </w:footnote>
  <w:footnote w:type="continuationSeparator" w:id="0">
    <w:p w:rsidR="00D03E1B" w:rsidRDefault="00D03E1B" w:rsidP="00DE4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CB" w:rsidRDefault="00DE4447" w:rsidP="00C318C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16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CCB" w:rsidRDefault="00D03E1B" w:rsidP="00FC7146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CB" w:rsidRDefault="00D03E1B" w:rsidP="00DF1744">
    <w:pPr>
      <w:pStyle w:val="a6"/>
      <w:framePr w:h="409" w:hRule="exact" w:wrap="around" w:vAnchor="text" w:hAnchor="page" w:x="1801" w:y="-166"/>
      <w:rPr>
        <w:rStyle w:val="a5"/>
      </w:rPr>
    </w:pPr>
  </w:p>
  <w:p w:rsidR="001A3CCB" w:rsidRDefault="00D03E1B" w:rsidP="00195922">
    <w:pPr>
      <w:pStyle w:val="a6"/>
      <w:framePr w:h="546" w:hRule="exact" w:wrap="around" w:vAnchor="text" w:hAnchor="page" w:x="1441" w:y="381"/>
      <w:ind w:right="360"/>
      <w:rPr>
        <w:rStyle w:val="a5"/>
      </w:rPr>
    </w:pPr>
  </w:p>
  <w:p w:rsidR="001A3CCB" w:rsidRDefault="00D03E1B" w:rsidP="003204B2">
    <w:pPr>
      <w:pStyle w:val="a6"/>
      <w:framePr w:w="284" w:wrap="around" w:vAnchor="text" w:hAnchor="page" w:x="15478" w:yAlign="center"/>
      <w:ind w:right="360" w:firstLine="360"/>
      <w:rPr>
        <w:rStyle w:val="a5"/>
      </w:rPr>
    </w:pPr>
  </w:p>
  <w:p w:rsidR="001A3CCB" w:rsidRDefault="00D03E1B" w:rsidP="00422D33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CB" w:rsidRPr="00FC7146" w:rsidRDefault="00831605" w:rsidP="00B66427">
    <w:pPr>
      <w:pStyle w:val="a6"/>
    </w:pPr>
    <w:r>
      <w:tab/>
    </w:r>
  </w:p>
  <w:p w:rsidR="001A3CCB" w:rsidRDefault="00D03E1B" w:rsidP="00B66427">
    <w:pPr>
      <w:tabs>
        <w:tab w:val="left" w:pos="141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CCD"/>
    <w:rsid w:val="006A2E0D"/>
    <w:rsid w:val="007E066E"/>
    <w:rsid w:val="00831605"/>
    <w:rsid w:val="00CB52E7"/>
    <w:rsid w:val="00CC5CCD"/>
    <w:rsid w:val="00D03E1B"/>
    <w:rsid w:val="00D81555"/>
    <w:rsid w:val="00DE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5C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5C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5CCD"/>
  </w:style>
  <w:style w:type="paragraph" w:styleId="a6">
    <w:name w:val="header"/>
    <w:basedOn w:val="a"/>
    <w:link w:val="a7"/>
    <w:uiPriority w:val="99"/>
    <w:rsid w:val="00CC5C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5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C5CCD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C5C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CC5CC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C5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CC5C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2016-01-15T13:02:00Z</cp:lastPrinted>
  <dcterms:created xsi:type="dcterms:W3CDTF">2022-05-23T06:42:00Z</dcterms:created>
  <dcterms:modified xsi:type="dcterms:W3CDTF">2022-05-23T06:42:00Z</dcterms:modified>
</cp:coreProperties>
</file>